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p>
    <w:p>
      <w:pPr>
        <w:jc w:val="center"/>
        <w:rPr>
          <w:rFonts w:ascii="宋体" w:hAnsi="宋体" w:eastAsia="宋体"/>
          <w:b/>
          <w:sz w:val="32"/>
          <w:szCs w:val="32"/>
        </w:rPr>
      </w:pPr>
      <w:r>
        <w:rPr>
          <w:rFonts w:hint="eastAsia" w:ascii="宋体" w:hAnsi="宋体" w:eastAsia="宋体"/>
          <w:b/>
          <w:sz w:val="32"/>
          <w:szCs w:val="32"/>
        </w:rPr>
        <w:t>服务类采购用户需求模板</w:t>
      </w:r>
    </w:p>
    <w:p>
      <w:pPr>
        <w:jc w:val="center"/>
        <w:rPr>
          <w:rFonts w:ascii="宋体" w:hAnsi="宋体" w:eastAsia="宋体"/>
          <w:b/>
          <w:sz w:val="32"/>
          <w:szCs w:val="32"/>
        </w:rPr>
      </w:pPr>
    </w:p>
    <w:p>
      <w:pPr>
        <w:pStyle w:val="9"/>
        <w:numPr>
          <w:ilvl w:val="0"/>
          <w:numId w:val="1"/>
        </w:numPr>
        <w:tabs>
          <w:tab w:val="left" w:pos="709"/>
        </w:tabs>
        <w:ind w:left="0" w:firstLine="0" w:firstLineChars="0"/>
        <w:rPr>
          <w:rFonts w:ascii="宋体" w:hAnsi="宋体" w:eastAsia="宋体"/>
          <w:sz w:val="28"/>
          <w:szCs w:val="28"/>
        </w:rPr>
      </w:pPr>
      <w:r>
        <w:rPr>
          <w:rFonts w:hint="eastAsia" w:ascii="宋体" w:hAnsi="宋体" w:eastAsia="宋体"/>
          <w:sz w:val="28"/>
          <w:szCs w:val="28"/>
        </w:rPr>
        <w:t>项目</w:t>
      </w:r>
      <w:r>
        <w:rPr>
          <w:rFonts w:ascii="宋体" w:hAnsi="宋体" w:eastAsia="宋体"/>
          <w:sz w:val="28"/>
          <w:szCs w:val="28"/>
        </w:rPr>
        <w:t>概况</w:t>
      </w:r>
    </w:p>
    <w:tbl>
      <w:tblPr>
        <w:tblStyle w:val="6"/>
        <w:tblpPr w:leftFromText="180" w:rightFromText="180" w:vertAnchor="text" w:horzAnchor="margin" w:tblpXSpec="center" w:tblpY="71"/>
        <w:tblW w:w="10173" w:type="dxa"/>
        <w:tblInd w:w="0" w:type="dxa"/>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417"/>
        <w:gridCol w:w="1276"/>
        <w:gridCol w:w="992"/>
        <w:gridCol w:w="1276"/>
        <w:gridCol w:w="1559"/>
        <w:gridCol w:w="1418"/>
        <w:gridCol w:w="709"/>
      </w:tblGrid>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34"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992"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主管科室</w:t>
            </w:r>
          </w:p>
        </w:tc>
        <w:tc>
          <w:tcPr>
            <w:tcW w:w="1417"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服务名称</w:t>
            </w:r>
          </w:p>
        </w:tc>
        <w:tc>
          <w:tcPr>
            <w:tcW w:w="1276"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预算单价</w:t>
            </w:r>
            <w:r>
              <w:rPr>
                <w:rFonts w:hint="eastAsia" w:ascii="宋体" w:hAnsi="宋体" w:eastAsia="宋体" w:cs="宋体"/>
                <w:b/>
                <w:color w:val="000000"/>
                <w:szCs w:val="21"/>
              </w:rPr>
              <w:t>（万元）</w:t>
            </w:r>
          </w:p>
        </w:tc>
        <w:tc>
          <w:tcPr>
            <w:tcW w:w="992"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数量</w:t>
            </w:r>
          </w:p>
        </w:tc>
        <w:tc>
          <w:tcPr>
            <w:tcW w:w="1276"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预算金额（万元）</w:t>
            </w:r>
          </w:p>
        </w:tc>
        <w:tc>
          <w:tcPr>
            <w:tcW w:w="1559"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院长办公会</w:t>
            </w:r>
          </w:p>
          <w:p>
            <w:pPr>
              <w:widowControl/>
              <w:jc w:val="center"/>
              <w:rPr>
                <w:rFonts w:ascii="宋体" w:hAnsi="宋体" w:eastAsia="宋体" w:cs="宋体"/>
                <w:b/>
                <w:color w:val="000000"/>
                <w:szCs w:val="21"/>
              </w:rPr>
            </w:pPr>
            <w:r>
              <w:rPr>
                <w:rFonts w:hint="eastAsia" w:ascii="宋体" w:hAnsi="宋体" w:eastAsia="宋体" w:cs="宋体"/>
                <w:b/>
                <w:bCs/>
                <w:color w:val="000000"/>
                <w:szCs w:val="21"/>
              </w:rPr>
              <w:t>同意日期</w:t>
            </w:r>
          </w:p>
        </w:tc>
        <w:tc>
          <w:tcPr>
            <w:tcW w:w="1418"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党委会</w:t>
            </w:r>
          </w:p>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同意日期</w:t>
            </w:r>
          </w:p>
        </w:tc>
        <w:tc>
          <w:tcPr>
            <w:tcW w:w="709"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备注</w:t>
            </w:r>
          </w:p>
        </w:tc>
      </w:tr>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34" w:type="dxa"/>
            <w:vAlign w:val="center"/>
          </w:tcPr>
          <w:p>
            <w:pPr>
              <w:widowControl/>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w:t>
            </w:r>
          </w:p>
        </w:tc>
        <w:tc>
          <w:tcPr>
            <w:tcW w:w="992" w:type="dxa"/>
            <w:vAlign w:val="center"/>
          </w:tcPr>
          <w:p>
            <w:pPr>
              <w:widowControl/>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医务科/检验科</w:t>
            </w:r>
          </w:p>
        </w:tc>
        <w:tc>
          <w:tcPr>
            <w:tcW w:w="1417"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番禺中心医院医疗集团新冠核酸</w:t>
            </w:r>
          </w:p>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委托检验服务</w:t>
            </w:r>
            <w:r>
              <w:rPr>
                <w:rFonts w:hint="eastAsia" w:ascii="宋体" w:hAnsi="宋体" w:eastAsia="宋体" w:cs="宋体"/>
                <w:color w:val="000000"/>
                <w:kern w:val="0"/>
                <w:szCs w:val="21"/>
                <w:lang w:val="en-US" w:eastAsia="zh-CN" w:bidi="ar"/>
              </w:rPr>
              <w:t>项目</w:t>
            </w:r>
          </w:p>
        </w:tc>
        <w:tc>
          <w:tcPr>
            <w:tcW w:w="1276" w:type="dxa"/>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360</w:t>
            </w:r>
          </w:p>
        </w:tc>
        <w:tc>
          <w:tcPr>
            <w:tcW w:w="992" w:type="dxa"/>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p>
        </w:tc>
        <w:tc>
          <w:tcPr>
            <w:tcW w:w="1276" w:type="dxa"/>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360</w:t>
            </w:r>
          </w:p>
        </w:tc>
        <w:tc>
          <w:tcPr>
            <w:tcW w:w="1559" w:type="dxa"/>
            <w:vAlign w:val="center"/>
          </w:tcPr>
          <w:p>
            <w:pPr>
              <w:jc w:val="center"/>
              <w:rPr>
                <w:rFonts w:ascii="宋体" w:hAnsi="宋体" w:eastAsia="宋体" w:cs="宋体"/>
                <w:bCs/>
                <w:color w:val="000000"/>
                <w:szCs w:val="21"/>
              </w:rPr>
            </w:pPr>
          </w:p>
        </w:tc>
        <w:tc>
          <w:tcPr>
            <w:tcW w:w="1418" w:type="dxa"/>
            <w:tcBorders>
              <w:right w:val="single" w:color="auto" w:sz="4" w:space="0"/>
            </w:tcBorders>
            <w:vAlign w:val="center"/>
          </w:tcPr>
          <w:p>
            <w:pPr>
              <w:jc w:val="center"/>
              <w:rPr>
                <w:rFonts w:ascii="宋体" w:hAnsi="宋体" w:eastAsia="宋体" w:cs="宋体"/>
                <w:bCs/>
                <w:color w:val="000000"/>
                <w:szCs w:val="21"/>
              </w:rPr>
            </w:pPr>
          </w:p>
        </w:tc>
        <w:tc>
          <w:tcPr>
            <w:tcW w:w="709" w:type="dxa"/>
            <w:tcBorders>
              <w:right w:val="single" w:color="auto" w:sz="4" w:space="0"/>
            </w:tcBorders>
            <w:vAlign w:val="center"/>
          </w:tcPr>
          <w:p>
            <w:pPr>
              <w:jc w:val="center"/>
              <w:rPr>
                <w:rFonts w:ascii="宋体" w:hAnsi="宋体" w:eastAsia="宋体" w:cs="宋体"/>
                <w:bCs/>
                <w:color w:val="000000"/>
                <w:szCs w:val="21"/>
              </w:rPr>
            </w:pPr>
          </w:p>
        </w:tc>
      </w:tr>
    </w:tbl>
    <w:p>
      <w:pPr>
        <w:pStyle w:val="9"/>
        <w:numPr>
          <w:ilvl w:val="0"/>
          <w:numId w:val="2"/>
        </w:numPr>
        <w:tabs>
          <w:tab w:val="left" w:pos="420"/>
        </w:tabs>
        <w:spacing w:line="360" w:lineRule="auto"/>
        <w:ind w:firstLineChars="0"/>
        <w:rPr>
          <w:rFonts w:ascii="仿宋" w:hAnsi="仿宋" w:eastAsia="仿宋" w:cs="Times New Roman"/>
          <w:sz w:val="28"/>
          <w:szCs w:val="28"/>
        </w:rPr>
      </w:pPr>
      <w:r>
        <w:rPr>
          <w:rFonts w:hint="eastAsia" w:ascii="仿宋" w:hAnsi="仿宋" w:eastAsia="仿宋" w:cs="Times New Roman"/>
          <w:sz w:val="28"/>
          <w:szCs w:val="28"/>
        </w:rPr>
        <w:t>项目目的：番禺中心医院医疗集团包括广州市番禺区中心医院（院本部）及广州市番禺区第七人民医院（东院区），现因在疫情防控紧急形势下，番禺中心医院医疗集团承载着全区众多本土居民及外来务工者核酸检测的任务，为增强检测能力及服务量，</w:t>
      </w:r>
      <w:r>
        <w:rPr>
          <w:rFonts w:hint="eastAsia" w:ascii="仿宋" w:hAnsi="仿宋" w:eastAsia="仿宋" w:cs="Times New Roman"/>
          <w:sz w:val="28"/>
          <w:szCs w:val="28"/>
          <w:lang w:val="en-US" w:eastAsia="zh-CN"/>
        </w:rPr>
        <w:t>针对</w:t>
      </w:r>
      <w:r>
        <w:rPr>
          <w:rFonts w:hint="eastAsia" w:ascii="仿宋" w:hAnsi="仿宋" w:eastAsia="仿宋" w:cs="Times New Roman"/>
          <w:sz w:val="28"/>
          <w:szCs w:val="28"/>
        </w:rPr>
        <w:t>新冠核酸检验服务项目</w:t>
      </w:r>
      <w:r>
        <w:rPr>
          <w:rFonts w:hint="eastAsia" w:ascii="仿宋" w:hAnsi="仿宋" w:eastAsia="仿宋" w:cs="Times New Roman"/>
          <w:sz w:val="28"/>
          <w:szCs w:val="28"/>
          <w:lang w:val="en-US" w:eastAsia="zh-CN"/>
        </w:rPr>
        <w:t>进行招标采购</w:t>
      </w:r>
      <w:r>
        <w:rPr>
          <w:rFonts w:hint="eastAsia" w:ascii="仿宋" w:hAnsi="仿宋" w:eastAsia="仿宋" w:cs="Times New Roman"/>
          <w:sz w:val="28"/>
          <w:szCs w:val="28"/>
        </w:rPr>
        <w:t>。</w:t>
      </w:r>
    </w:p>
    <w:p>
      <w:pPr>
        <w:pStyle w:val="9"/>
        <w:numPr>
          <w:ilvl w:val="0"/>
          <w:numId w:val="2"/>
        </w:numPr>
        <w:tabs>
          <w:tab w:val="left" w:pos="420"/>
        </w:tabs>
        <w:spacing w:line="360" w:lineRule="auto"/>
        <w:ind w:firstLineChars="0"/>
        <w:rPr>
          <w:rFonts w:ascii="仿宋" w:hAnsi="仿宋" w:eastAsia="仿宋" w:cs="Times New Roman"/>
          <w:sz w:val="28"/>
          <w:szCs w:val="28"/>
        </w:rPr>
      </w:pPr>
      <w:r>
        <w:rPr>
          <w:rFonts w:hint="eastAsia" w:ascii="仿宋" w:hAnsi="仿宋" w:eastAsia="仿宋" w:cs="Times New Roman"/>
          <w:sz w:val="28"/>
          <w:szCs w:val="28"/>
        </w:rPr>
        <w:t>实施地址：番禺中心医院医疗集团。</w:t>
      </w:r>
    </w:p>
    <w:p>
      <w:pPr>
        <w:pStyle w:val="9"/>
        <w:numPr>
          <w:ilvl w:val="0"/>
          <w:numId w:val="2"/>
        </w:numPr>
        <w:tabs>
          <w:tab w:val="left" w:pos="709"/>
        </w:tabs>
        <w:ind w:left="360" w:leftChars="0" w:hanging="360" w:firstLineChars="0"/>
        <w:rPr>
          <w:rFonts w:hint="eastAsia" w:ascii="仿宋" w:hAnsi="仿宋" w:eastAsia="仿宋" w:cs="Times New Roman"/>
          <w:sz w:val="28"/>
          <w:szCs w:val="28"/>
        </w:rPr>
      </w:pPr>
      <w:r>
        <w:rPr>
          <w:rFonts w:hint="eastAsia" w:ascii="仿宋" w:hAnsi="仿宋" w:eastAsia="仿宋" w:cs="Times New Roman"/>
          <w:sz w:val="28"/>
          <w:szCs w:val="28"/>
        </w:rPr>
        <w:t>基本要求：</w:t>
      </w:r>
      <w:r>
        <w:rPr>
          <w:rFonts w:hint="eastAsia" w:ascii="仿宋" w:hAnsi="仿宋" w:eastAsia="仿宋" w:cs="Times New Roman"/>
          <w:sz w:val="28"/>
          <w:szCs w:val="28"/>
          <w:lang w:val="en-US" w:eastAsia="zh-CN"/>
        </w:rPr>
        <w:t>投标人</w:t>
      </w:r>
      <w:r>
        <w:rPr>
          <w:rFonts w:hint="eastAsia" w:ascii="仿宋" w:hAnsi="仿宋" w:eastAsia="仿宋" w:cs="Times New Roman"/>
          <w:sz w:val="28"/>
          <w:szCs w:val="28"/>
        </w:rPr>
        <w:t>负责</w:t>
      </w:r>
      <w:r>
        <w:rPr>
          <w:rFonts w:hint="eastAsia" w:ascii="仿宋" w:hAnsi="仿宋" w:eastAsia="仿宋" w:cs="Times New Roman"/>
          <w:sz w:val="28"/>
          <w:szCs w:val="28"/>
          <w:lang w:val="en-US" w:eastAsia="zh-CN"/>
        </w:rPr>
        <w:t>在番禺中心医院设立新冠核酸检测方舱实验室，</w:t>
      </w:r>
      <w:r>
        <w:rPr>
          <w:rFonts w:hint="eastAsia" w:ascii="仿宋" w:hAnsi="仿宋" w:eastAsia="仿宋" w:cs="Times New Roman"/>
          <w:sz w:val="28"/>
          <w:szCs w:val="28"/>
        </w:rPr>
        <w:t>完成对番禺中心医院医疗集团</w:t>
      </w:r>
      <w:r>
        <w:rPr>
          <w:rFonts w:hint="eastAsia" w:ascii="仿宋" w:hAnsi="仿宋" w:eastAsia="仿宋" w:cs="Times New Roman"/>
          <w:sz w:val="28"/>
          <w:szCs w:val="28"/>
          <w:lang w:val="en-US" w:eastAsia="zh-CN"/>
        </w:rPr>
        <w:t>新冠核酸</w:t>
      </w:r>
      <w:r>
        <w:rPr>
          <w:rFonts w:hint="eastAsia" w:ascii="仿宋" w:hAnsi="仿宋" w:eastAsia="仿宋" w:cs="Times New Roman"/>
          <w:sz w:val="28"/>
          <w:szCs w:val="28"/>
        </w:rPr>
        <w:t>检验外送标本的接收、运输、检测、报告、医疗废物处理、临床意义解读等工作。</w:t>
      </w:r>
    </w:p>
    <w:p>
      <w:pPr>
        <w:pStyle w:val="9"/>
        <w:numPr>
          <w:ilvl w:val="0"/>
          <w:numId w:val="1"/>
        </w:numPr>
        <w:tabs>
          <w:tab w:val="left" w:pos="709"/>
        </w:tabs>
        <w:ind w:left="0" w:firstLine="0" w:firstLineChars="0"/>
        <w:rPr>
          <w:rFonts w:ascii="宋体" w:hAnsi="宋体" w:eastAsia="宋体"/>
          <w:sz w:val="28"/>
          <w:szCs w:val="28"/>
        </w:rPr>
      </w:pPr>
      <w:bookmarkStart w:id="0" w:name="_GoBack"/>
      <w:bookmarkEnd w:id="0"/>
      <w:r>
        <w:rPr>
          <w:rFonts w:hint="eastAsia" w:ascii="宋体" w:hAnsi="宋体" w:eastAsia="宋体"/>
          <w:sz w:val="28"/>
          <w:szCs w:val="28"/>
        </w:rPr>
        <w:t>报价范围的定义</w:t>
      </w:r>
    </w:p>
    <w:p>
      <w:pPr>
        <w:pStyle w:val="9"/>
        <w:tabs>
          <w:tab w:val="left" w:pos="709"/>
        </w:tabs>
        <w:ind w:firstLine="560"/>
        <w:rPr>
          <w:rFonts w:hint="eastAsia" w:ascii="仿宋" w:hAnsi="仿宋" w:eastAsia="仿宋"/>
          <w:sz w:val="28"/>
          <w:szCs w:val="28"/>
        </w:rPr>
      </w:pPr>
      <w:r>
        <w:rPr>
          <w:rFonts w:hint="eastAsia" w:ascii="宋体" w:hAnsi="宋体" w:eastAsia="宋体" w:cs="宋体"/>
          <w:sz w:val="24"/>
          <w:szCs w:val="24"/>
        </w:rPr>
        <w:t>★</w:t>
      </w:r>
      <w:r>
        <w:rPr>
          <w:rFonts w:hint="eastAsia" w:ascii="仿宋" w:hAnsi="仿宋" w:eastAsia="仿宋"/>
          <w:sz w:val="28"/>
          <w:szCs w:val="28"/>
        </w:rPr>
        <w:t>投标人对</w:t>
      </w:r>
      <w:r>
        <w:rPr>
          <w:rFonts w:hint="eastAsia" w:ascii="仿宋" w:hAnsi="仿宋" w:eastAsia="仿宋"/>
          <w:sz w:val="28"/>
          <w:szCs w:val="28"/>
          <w:lang w:val="en-US" w:eastAsia="zh-CN"/>
        </w:rPr>
        <w:t>项目列表中每个</w:t>
      </w:r>
      <w:r>
        <w:rPr>
          <w:rFonts w:hint="eastAsia" w:ascii="仿宋" w:hAnsi="仿宋" w:eastAsia="仿宋"/>
          <w:sz w:val="28"/>
          <w:szCs w:val="28"/>
        </w:rPr>
        <w:t>项目</w:t>
      </w:r>
      <w:r>
        <w:rPr>
          <w:rFonts w:hint="eastAsia" w:ascii="仿宋" w:hAnsi="仿宋" w:eastAsia="仿宋"/>
          <w:sz w:val="28"/>
          <w:szCs w:val="28"/>
          <w:lang w:val="en-US" w:eastAsia="zh-CN"/>
        </w:rPr>
        <w:t>进行单独报价</w:t>
      </w:r>
      <w:r>
        <w:rPr>
          <w:rFonts w:hint="eastAsia" w:ascii="仿宋" w:hAnsi="仿宋" w:eastAsia="仿宋"/>
          <w:sz w:val="28"/>
          <w:szCs w:val="28"/>
          <w:lang w:eastAsia="zh-CN"/>
        </w:rPr>
        <w:t>。</w:t>
      </w:r>
      <w:r>
        <w:rPr>
          <w:rFonts w:hint="eastAsia" w:ascii="仿宋" w:hAnsi="仿宋" w:eastAsia="仿宋"/>
          <w:sz w:val="28"/>
          <w:szCs w:val="28"/>
          <w:lang w:val="en-US" w:eastAsia="zh-CN"/>
        </w:rPr>
        <w:t>其中，</w:t>
      </w:r>
      <w:r>
        <w:rPr>
          <w:rFonts w:hint="eastAsia" w:ascii="仿宋" w:hAnsi="仿宋" w:eastAsia="仿宋"/>
          <w:sz w:val="28"/>
          <w:szCs w:val="28"/>
        </w:rPr>
        <w:t>单采核酸标本检测服务费结算限价</w:t>
      </w:r>
      <w:r>
        <w:rPr>
          <w:rFonts w:hint="eastAsia" w:ascii="仿宋" w:hAnsi="仿宋" w:eastAsia="仿宋"/>
          <w:color w:val="000000" w:themeColor="text1"/>
          <w:sz w:val="28"/>
          <w:szCs w:val="28"/>
          <w14:textFill>
            <w14:solidFill>
              <w14:schemeClr w14:val="tx1"/>
            </w14:solidFill>
          </w14:textFill>
        </w:rPr>
        <w:t>为</w:t>
      </w:r>
      <w:r>
        <w:rPr>
          <w:rFonts w:hint="eastAsia" w:ascii="仿宋" w:hAnsi="仿宋" w:eastAsia="仿宋"/>
          <w:color w:val="000000" w:themeColor="text1"/>
          <w:sz w:val="28"/>
          <w:szCs w:val="28"/>
          <w:lang w:val="en-US" w:eastAsia="zh-CN"/>
          <w14:textFill>
            <w14:solidFill>
              <w14:schemeClr w14:val="tx1"/>
            </w14:solidFill>
          </w14:textFill>
        </w:rPr>
        <w:t>9.0</w:t>
      </w:r>
      <w:r>
        <w:rPr>
          <w:rFonts w:hint="eastAsia" w:ascii="仿宋" w:hAnsi="仿宋" w:eastAsia="仿宋"/>
          <w:color w:val="000000" w:themeColor="text1"/>
          <w:sz w:val="28"/>
          <w:szCs w:val="28"/>
          <w14:textFill>
            <w14:solidFill>
              <w14:schemeClr w14:val="tx1"/>
            </w14:solidFill>
          </w14:textFill>
        </w:rPr>
        <w:t>元/人，混采核酸标本检测服务费结算限价为</w:t>
      </w:r>
      <w:r>
        <w:rPr>
          <w:rFonts w:hint="eastAsia" w:ascii="仿宋" w:hAnsi="仿宋" w:eastAsia="仿宋"/>
          <w:color w:val="000000" w:themeColor="text1"/>
          <w:sz w:val="28"/>
          <w:szCs w:val="28"/>
          <w:lang w:val="en-US" w:eastAsia="zh-CN"/>
          <w14:textFill>
            <w14:solidFill>
              <w14:schemeClr w14:val="tx1"/>
            </w14:solidFill>
          </w14:textFill>
        </w:rPr>
        <w:t>1.5</w:t>
      </w:r>
      <w:r>
        <w:rPr>
          <w:rFonts w:hint="eastAsia" w:ascii="仿宋" w:hAnsi="仿宋" w:eastAsia="仿宋"/>
          <w:color w:val="000000" w:themeColor="text1"/>
          <w:sz w:val="28"/>
          <w:szCs w:val="28"/>
          <w14:textFill>
            <w14:solidFill>
              <w14:schemeClr w14:val="tx1"/>
            </w14:solidFill>
          </w14:textFill>
        </w:rPr>
        <w:t>元/人。（</w:t>
      </w:r>
      <w:r>
        <w:rPr>
          <w:rFonts w:hint="eastAsia" w:ascii="仿宋" w:hAnsi="仿宋" w:eastAsia="仿宋"/>
          <w:sz w:val="28"/>
          <w:szCs w:val="28"/>
        </w:rPr>
        <w:t>按政府物价部门规定，现单采核酸标本检验收费为</w:t>
      </w:r>
      <w:r>
        <w:rPr>
          <w:rFonts w:hint="eastAsia" w:ascii="仿宋" w:hAnsi="仿宋" w:eastAsia="仿宋"/>
          <w:sz w:val="28"/>
          <w:szCs w:val="28"/>
          <w:lang w:val="en-US" w:eastAsia="zh-CN"/>
        </w:rPr>
        <w:t>12.50</w:t>
      </w:r>
      <w:r>
        <w:rPr>
          <w:rFonts w:hint="eastAsia" w:ascii="仿宋" w:hAnsi="仿宋" w:eastAsia="仿宋"/>
          <w:sz w:val="28"/>
          <w:szCs w:val="28"/>
        </w:rPr>
        <w:t>元</w:t>
      </w:r>
      <w:r>
        <w:rPr>
          <w:rFonts w:hint="eastAsia" w:ascii="仿宋" w:hAnsi="仿宋" w:eastAsia="仿宋"/>
          <w:sz w:val="28"/>
          <w:szCs w:val="28"/>
          <w:lang w:val="en-US" w:eastAsia="zh-CN"/>
        </w:rPr>
        <w:t>/人（9.5元+3元）</w:t>
      </w:r>
      <w:r>
        <w:rPr>
          <w:rFonts w:hint="eastAsia" w:ascii="仿宋" w:hAnsi="仿宋" w:eastAsia="仿宋"/>
          <w:sz w:val="28"/>
          <w:szCs w:val="28"/>
        </w:rPr>
        <w:t>，混采核酸标本检验收费为</w:t>
      </w:r>
      <w:r>
        <w:rPr>
          <w:rFonts w:hint="eastAsia" w:ascii="仿宋" w:hAnsi="仿宋" w:eastAsia="仿宋"/>
          <w:sz w:val="28"/>
          <w:szCs w:val="28"/>
          <w:lang w:val="en-US" w:eastAsia="zh-CN"/>
        </w:rPr>
        <w:t>2.80</w:t>
      </w:r>
      <w:r>
        <w:rPr>
          <w:rFonts w:hint="eastAsia" w:ascii="仿宋" w:hAnsi="仿宋" w:eastAsia="仿宋"/>
          <w:sz w:val="28"/>
          <w:szCs w:val="28"/>
        </w:rPr>
        <w:t>元/人；如遇政府物价调整，在不高于原结算比列基础上由双方协商确定结算价格。）若投标人所报结算</w:t>
      </w:r>
      <w:r>
        <w:rPr>
          <w:rFonts w:hint="eastAsia" w:ascii="仿宋" w:hAnsi="仿宋" w:eastAsia="仿宋"/>
          <w:sz w:val="28"/>
          <w:szCs w:val="28"/>
          <w:lang w:val="en-US" w:eastAsia="zh-CN"/>
        </w:rPr>
        <w:t>价格超过结算限价</w:t>
      </w:r>
      <w:r>
        <w:rPr>
          <w:rFonts w:hint="eastAsia" w:ascii="仿宋" w:hAnsi="仿宋" w:eastAsia="仿宋"/>
          <w:sz w:val="28"/>
          <w:szCs w:val="28"/>
        </w:rPr>
        <w:t>则为无效报价，投标无效。</w:t>
      </w:r>
    </w:p>
    <w:p>
      <w:pPr>
        <w:ind w:firstLine="560" w:firstLineChars="200"/>
        <w:rPr>
          <w:rFonts w:ascii="仿宋" w:hAnsi="仿宋" w:eastAsia="仿宋"/>
          <w:sz w:val="28"/>
          <w:szCs w:val="28"/>
        </w:rPr>
      </w:pPr>
      <w:r>
        <w:rPr>
          <w:rFonts w:hint="eastAsia" w:ascii="仿宋" w:hAnsi="仿宋" w:eastAsia="仿宋"/>
          <w:sz w:val="28"/>
          <w:szCs w:val="28"/>
        </w:rPr>
        <w:t>委托检验项目服务费包含</w:t>
      </w:r>
      <w:r>
        <w:rPr>
          <w:rFonts w:hint="eastAsia" w:ascii="仿宋" w:hAnsi="仿宋" w:eastAsia="仿宋"/>
          <w:sz w:val="28"/>
          <w:szCs w:val="28"/>
          <w:lang w:val="en-US" w:eastAsia="zh-CN"/>
        </w:rPr>
        <w:t>投标人</w:t>
      </w:r>
      <w:r>
        <w:rPr>
          <w:rFonts w:ascii="仿宋" w:hAnsi="仿宋" w:eastAsia="仿宋"/>
          <w:sz w:val="28"/>
          <w:szCs w:val="28"/>
        </w:rPr>
        <w:t>完成对</w:t>
      </w:r>
      <w:r>
        <w:rPr>
          <w:rFonts w:hint="eastAsia" w:ascii="仿宋" w:hAnsi="仿宋" w:eastAsia="仿宋"/>
          <w:sz w:val="28"/>
          <w:szCs w:val="28"/>
        </w:rPr>
        <w:t>委托检验项目的一切费用，包括</w:t>
      </w:r>
      <w:r>
        <w:rPr>
          <w:rFonts w:ascii="仿宋" w:hAnsi="仿宋" w:eastAsia="仿宋"/>
          <w:sz w:val="28"/>
          <w:szCs w:val="28"/>
        </w:rPr>
        <w:t>标本的接收、运输、检测、报告、</w:t>
      </w:r>
      <w:r>
        <w:rPr>
          <w:rFonts w:hint="eastAsia" w:ascii="仿宋" w:hAnsi="仿宋" w:eastAsia="仿宋" w:cs="Times New Roman"/>
          <w:sz w:val="28"/>
          <w:szCs w:val="28"/>
        </w:rPr>
        <w:t>医疗废物处理、</w:t>
      </w:r>
      <w:r>
        <w:rPr>
          <w:rFonts w:ascii="仿宋" w:hAnsi="仿宋" w:eastAsia="仿宋"/>
          <w:sz w:val="28"/>
          <w:szCs w:val="28"/>
        </w:rPr>
        <w:t>临床意义解读</w:t>
      </w:r>
      <w:r>
        <w:rPr>
          <w:rFonts w:hint="eastAsia" w:ascii="仿宋" w:hAnsi="仿宋" w:eastAsia="仿宋"/>
          <w:sz w:val="28"/>
          <w:szCs w:val="28"/>
        </w:rPr>
        <w:t>、售后服务、人力成本、设备、试剂、耗材、保险、信息</w:t>
      </w:r>
      <w:r>
        <w:rPr>
          <w:rFonts w:ascii="仿宋" w:hAnsi="仿宋" w:eastAsia="仿宋"/>
          <w:sz w:val="28"/>
          <w:szCs w:val="28"/>
        </w:rPr>
        <w:t>系统对接等</w:t>
      </w:r>
      <w:r>
        <w:rPr>
          <w:rFonts w:hint="eastAsia" w:ascii="仿宋" w:hAnsi="仿宋" w:eastAsia="仿宋"/>
          <w:sz w:val="28"/>
          <w:szCs w:val="28"/>
        </w:rPr>
        <w:t>所有费用。</w:t>
      </w:r>
    </w:p>
    <w:p>
      <w:pPr>
        <w:pStyle w:val="9"/>
        <w:tabs>
          <w:tab w:val="left" w:pos="709"/>
        </w:tabs>
        <w:ind w:firstLine="560"/>
        <w:rPr>
          <w:rFonts w:hint="eastAsia" w:ascii="仿宋" w:hAnsi="仿宋" w:eastAsia="仿宋"/>
          <w:sz w:val="28"/>
          <w:szCs w:val="28"/>
        </w:rPr>
      </w:pPr>
    </w:p>
    <w:p>
      <w:pPr>
        <w:pStyle w:val="9"/>
        <w:numPr>
          <w:ilvl w:val="0"/>
          <w:numId w:val="1"/>
        </w:numPr>
        <w:tabs>
          <w:tab w:val="left" w:pos="709"/>
        </w:tabs>
        <w:ind w:left="0" w:firstLine="0" w:firstLineChars="0"/>
        <w:rPr>
          <w:rFonts w:ascii="宋体" w:hAnsi="宋体" w:eastAsia="宋体"/>
          <w:sz w:val="28"/>
          <w:szCs w:val="28"/>
        </w:rPr>
      </w:pPr>
      <w:r>
        <w:rPr>
          <w:rFonts w:ascii="宋体" w:hAnsi="宋体" w:eastAsia="宋体"/>
          <w:sz w:val="28"/>
          <w:szCs w:val="28"/>
        </w:rPr>
        <w:t>资格要求</w:t>
      </w:r>
      <w:r>
        <w:rPr>
          <w:rFonts w:hint="eastAsia" w:ascii="宋体" w:hAnsi="宋体" w:eastAsia="宋体"/>
          <w:sz w:val="28"/>
          <w:szCs w:val="28"/>
        </w:rPr>
        <w:t>及政策</w:t>
      </w:r>
      <w:r>
        <w:rPr>
          <w:rFonts w:ascii="宋体" w:hAnsi="宋体" w:eastAsia="宋体"/>
          <w:sz w:val="28"/>
          <w:szCs w:val="28"/>
        </w:rPr>
        <w:t>要求</w:t>
      </w:r>
    </w:p>
    <w:p>
      <w:pPr>
        <w:pStyle w:val="9"/>
        <w:numPr>
          <w:ilvl w:val="0"/>
          <w:numId w:val="3"/>
        </w:numPr>
        <w:tabs>
          <w:tab w:val="left" w:pos="420"/>
        </w:tabs>
        <w:spacing w:line="360" w:lineRule="auto"/>
        <w:ind w:firstLineChars="0"/>
        <w:rPr>
          <w:rFonts w:ascii="仿宋" w:hAnsi="仿宋" w:eastAsia="仿宋" w:cs="Times New Roman"/>
          <w:sz w:val="28"/>
          <w:szCs w:val="28"/>
        </w:rPr>
      </w:pPr>
      <w:r>
        <w:rPr>
          <w:rFonts w:ascii="仿宋" w:hAnsi="仿宋" w:eastAsia="仿宋" w:cs="Times New Roman"/>
          <w:sz w:val="28"/>
          <w:szCs w:val="28"/>
        </w:rPr>
        <w:t>符合《中华人民共和国政府采购法》第二十二条第一款的规定，即应符合下列条件：</w:t>
      </w:r>
    </w:p>
    <w:p>
      <w:pPr>
        <w:tabs>
          <w:tab w:val="left" w:pos="420"/>
        </w:tabs>
        <w:spacing w:line="360" w:lineRule="auto"/>
        <w:rPr>
          <w:rFonts w:ascii="仿宋" w:hAnsi="仿宋" w:eastAsia="仿宋" w:cs="Times New Roman"/>
          <w:sz w:val="28"/>
          <w:szCs w:val="28"/>
        </w:rPr>
      </w:pPr>
      <w:r>
        <w:rPr>
          <w:rFonts w:ascii="仿宋" w:hAnsi="仿宋" w:eastAsia="仿宋" w:cs="Times New Roman"/>
          <w:sz w:val="28"/>
          <w:szCs w:val="28"/>
        </w:rPr>
        <w:tab/>
      </w:r>
      <w:r>
        <w:rPr>
          <w:rFonts w:ascii="仿宋" w:hAnsi="仿宋" w:eastAsia="仿宋" w:cs="Times New Roman"/>
          <w:sz w:val="28"/>
          <w:szCs w:val="28"/>
        </w:rPr>
        <w:t>1.1 具有独立承担民事责任的能力；</w:t>
      </w:r>
    </w:p>
    <w:p>
      <w:pPr>
        <w:tabs>
          <w:tab w:val="left" w:pos="420"/>
        </w:tabs>
        <w:spacing w:line="360" w:lineRule="auto"/>
        <w:rPr>
          <w:rFonts w:ascii="仿宋" w:hAnsi="仿宋" w:eastAsia="仿宋" w:cs="Times New Roman"/>
          <w:sz w:val="28"/>
          <w:szCs w:val="28"/>
        </w:rPr>
      </w:pPr>
      <w:r>
        <w:rPr>
          <w:rFonts w:ascii="仿宋" w:hAnsi="仿宋" w:eastAsia="仿宋" w:cs="Times New Roman"/>
          <w:sz w:val="28"/>
          <w:szCs w:val="28"/>
        </w:rPr>
        <w:tab/>
      </w:r>
      <w:r>
        <w:rPr>
          <w:rFonts w:ascii="仿宋" w:hAnsi="仿宋" w:eastAsia="仿宋" w:cs="Times New Roman"/>
          <w:sz w:val="28"/>
          <w:szCs w:val="28"/>
        </w:rPr>
        <w:t>1.2 具有良好的商业信誉和健全的财务会计制度；</w:t>
      </w:r>
    </w:p>
    <w:p>
      <w:pPr>
        <w:tabs>
          <w:tab w:val="left" w:pos="420"/>
        </w:tabs>
        <w:spacing w:line="360" w:lineRule="auto"/>
        <w:rPr>
          <w:rFonts w:ascii="仿宋" w:hAnsi="仿宋" w:eastAsia="仿宋" w:cs="Times New Roman"/>
          <w:sz w:val="28"/>
          <w:szCs w:val="28"/>
        </w:rPr>
      </w:pPr>
      <w:r>
        <w:rPr>
          <w:rFonts w:ascii="仿宋" w:hAnsi="仿宋" w:eastAsia="仿宋" w:cs="Times New Roman"/>
          <w:sz w:val="28"/>
          <w:szCs w:val="28"/>
        </w:rPr>
        <w:tab/>
      </w:r>
      <w:r>
        <w:rPr>
          <w:rFonts w:ascii="仿宋" w:hAnsi="仿宋" w:eastAsia="仿宋" w:cs="Times New Roman"/>
          <w:sz w:val="28"/>
          <w:szCs w:val="28"/>
        </w:rPr>
        <w:t>1.3 具有履行合同所必需的设备和专业技术能力；</w:t>
      </w:r>
    </w:p>
    <w:p>
      <w:pPr>
        <w:tabs>
          <w:tab w:val="left" w:pos="420"/>
        </w:tabs>
        <w:spacing w:line="360" w:lineRule="auto"/>
        <w:rPr>
          <w:rFonts w:ascii="仿宋" w:hAnsi="仿宋" w:eastAsia="仿宋" w:cs="Times New Roman"/>
          <w:sz w:val="28"/>
          <w:szCs w:val="28"/>
        </w:rPr>
      </w:pPr>
      <w:r>
        <w:rPr>
          <w:rFonts w:ascii="仿宋" w:hAnsi="仿宋" w:eastAsia="仿宋" w:cs="Times New Roman"/>
          <w:sz w:val="28"/>
          <w:szCs w:val="28"/>
        </w:rPr>
        <w:tab/>
      </w:r>
      <w:r>
        <w:rPr>
          <w:rFonts w:ascii="仿宋" w:hAnsi="仿宋" w:eastAsia="仿宋" w:cs="Times New Roman"/>
          <w:sz w:val="28"/>
          <w:szCs w:val="28"/>
        </w:rPr>
        <w:t>1.4 有依法缴纳税收和社会保障资金的良好记录；</w:t>
      </w:r>
    </w:p>
    <w:p>
      <w:pPr>
        <w:tabs>
          <w:tab w:val="left" w:pos="420"/>
        </w:tabs>
        <w:spacing w:line="360" w:lineRule="auto"/>
        <w:rPr>
          <w:rFonts w:ascii="仿宋" w:hAnsi="仿宋" w:eastAsia="仿宋" w:cs="Times New Roman"/>
          <w:sz w:val="28"/>
          <w:szCs w:val="28"/>
        </w:rPr>
      </w:pPr>
      <w:r>
        <w:rPr>
          <w:rFonts w:ascii="仿宋" w:hAnsi="仿宋" w:eastAsia="仿宋" w:cs="Times New Roman"/>
          <w:sz w:val="28"/>
          <w:szCs w:val="28"/>
        </w:rPr>
        <w:tab/>
      </w:r>
      <w:r>
        <w:rPr>
          <w:rFonts w:ascii="仿宋" w:hAnsi="仿宋" w:eastAsia="仿宋" w:cs="Times New Roman"/>
          <w:sz w:val="28"/>
          <w:szCs w:val="28"/>
        </w:rPr>
        <w:t>1.5 参加本次政府采购活动前三年内，在经营活动中没有重大违法记录。</w:t>
      </w:r>
    </w:p>
    <w:p>
      <w:pPr>
        <w:pStyle w:val="9"/>
        <w:numPr>
          <w:ilvl w:val="0"/>
          <w:numId w:val="3"/>
        </w:numPr>
        <w:tabs>
          <w:tab w:val="left" w:pos="420"/>
        </w:tabs>
        <w:spacing w:line="360" w:lineRule="auto"/>
        <w:ind w:firstLineChars="0"/>
        <w:rPr>
          <w:rFonts w:ascii="仿宋" w:hAnsi="仿宋" w:eastAsia="仿宋" w:cs="Times New Roman"/>
          <w:sz w:val="28"/>
          <w:szCs w:val="28"/>
        </w:rPr>
      </w:pPr>
      <w:r>
        <w:rPr>
          <w:rFonts w:ascii="仿宋" w:hAnsi="仿宋" w:eastAsia="仿宋" w:cs="Times New Roman"/>
          <w:sz w:val="28"/>
          <w:szCs w:val="28"/>
        </w:rPr>
        <w:t>响应供应商未被“信用中国网站”（www.creditchina.gov.cn）列入失信被执行人、重大税收违法案件当事人名单或政府采购严重违法失信名单。</w:t>
      </w:r>
    </w:p>
    <w:p>
      <w:pPr>
        <w:pStyle w:val="9"/>
        <w:numPr>
          <w:ilvl w:val="0"/>
          <w:numId w:val="3"/>
        </w:numPr>
        <w:tabs>
          <w:tab w:val="left" w:pos="420"/>
        </w:tabs>
        <w:spacing w:line="360" w:lineRule="auto"/>
        <w:ind w:firstLineChars="0"/>
        <w:rPr>
          <w:rFonts w:ascii="仿宋" w:hAnsi="仿宋" w:eastAsia="仿宋" w:cs="Times New Roman"/>
          <w:sz w:val="28"/>
          <w:szCs w:val="28"/>
        </w:rPr>
      </w:pPr>
      <w:r>
        <w:rPr>
          <w:rFonts w:hint="eastAsia" w:ascii="仿宋" w:hAnsi="仿宋" w:eastAsia="仿宋" w:cs="Times New Roman"/>
          <w:sz w:val="28"/>
          <w:szCs w:val="28"/>
        </w:rPr>
        <w:t>具备独立承担民事责任的能力，专业的技术能力（包括但不限于实验室认证证明、卫生行政部门颁发的专业技术人员资格证、执业证、上岗证等资质证明。）</w:t>
      </w:r>
    </w:p>
    <w:p>
      <w:pPr>
        <w:pStyle w:val="9"/>
        <w:numPr>
          <w:ilvl w:val="0"/>
          <w:numId w:val="3"/>
        </w:numPr>
        <w:tabs>
          <w:tab w:val="left" w:pos="420"/>
        </w:tabs>
        <w:spacing w:line="360" w:lineRule="auto"/>
        <w:ind w:firstLineChars="0"/>
        <w:rPr>
          <w:rFonts w:ascii="宋体" w:hAnsi="宋体" w:eastAsia="宋体"/>
          <w:sz w:val="28"/>
          <w:szCs w:val="28"/>
        </w:rPr>
      </w:pPr>
      <w:r>
        <w:rPr>
          <w:rFonts w:hint="eastAsia" w:ascii="仿宋" w:hAnsi="仿宋" w:eastAsia="仿宋" w:cs="Times New Roman"/>
          <w:sz w:val="28"/>
          <w:szCs w:val="28"/>
        </w:rPr>
        <w:t>具备从事医学检验、检测的资质，提供有效的《医疗机构执业许可证》复印件并加盖公章，原件备查。</w:t>
      </w:r>
    </w:p>
    <w:p>
      <w:pPr>
        <w:pStyle w:val="9"/>
        <w:numPr>
          <w:ilvl w:val="0"/>
          <w:numId w:val="1"/>
        </w:numPr>
        <w:tabs>
          <w:tab w:val="left" w:pos="709"/>
        </w:tabs>
        <w:ind w:left="0" w:firstLine="0" w:firstLineChars="0"/>
        <w:rPr>
          <w:rFonts w:ascii="宋体" w:hAnsi="宋体" w:eastAsia="宋体"/>
          <w:sz w:val="28"/>
          <w:szCs w:val="28"/>
        </w:rPr>
      </w:pPr>
      <w:r>
        <w:rPr>
          <w:rFonts w:hint="eastAsia" w:ascii="宋体" w:hAnsi="宋体" w:eastAsia="宋体"/>
          <w:sz w:val="28"/>
          <w:szCs w:val="28"/>
        </w:rPr>
        <w:t>是否</w:t>
      </w:r>
      <w:r>
        <w:rPr>
          <w:rFonts w:ascii="宋体" w:hAnsi="宋体" w:eastAsia="宋体"/>
          <w:sz w:val="28"/>
          <w:szCs w:val="28"/>
        </w:rPr>
        <w:t>面向中小企业</w:t>
      </w:r>
      <w:r>
        <w:rPr>
          <w:rFonts w:hint="eastAsia" w:ascii="宋体" w:hAnsi="宋体" w:eastAsia="宋体"/>
          <w:sz w:val="28"/>
          <w:szCs w:val="28"/>
        </w:rPr>
        <w:t>（</w:t>
      </w:r>
      <w:r>
        <w:rPr>
          <w:rFonts w:hint="eastAsia" w:ascii="宋体" w:hAnsi="宋体" w:eastAsia="宋体"/>
          <w:color w:val="FF0000"/>
          <w:sz w:val="28"/>
          <w:szCs w:val="28"/>
        </w:rPr>
        <w:t>注</w:t>
      </w:r>
      <w:r>
        <w:rPr>
          <w:rFonts w:ascii="宋体" w:hAnsi="宋体" w:eastAsia="宋体"/>
          <w:color w:val="FF0000"/>
          <w:sz w:val="28"/>
          <w:szCs w:val="28"/>
        </w:rPr>
        <w:t>：</w:t>
      </w:r>
      <w:r>
        <w:rPr>
          <w:rFonts w:hint="eastAsia" w:ascii="宋体" w:hAnsi="宋体" w:eastAsia="宋体"/>
          <w:color w:val="FF0000"/>
          <w:sz w:val="28"/>
          <w:szCs w:val="28"/>
        </w:rPr>
        <w:t>200万元</w:t>
      </w:r>
      <w:r>
        <w:rPr>
          <w:rFonts w:ascii="宋体" w:hAnsi="宋体" w:eastAsia="宋体"/>
          <w:color w:val="FF0000"/>
          <w:sz w:val="28"/>
          <w:szCs w:val="28"/>
        </w:rPr>
        <w:t>以下按整体选择是否面向</w:t>
      </w:r>
      <w:r>
        <w:rPr>
          <w:rFonts w:hint="eastAsia" w:ascii="宋体" w:hAnsi="宋体" w:eastAsia="宋体"/>
          <w:color w:val="FF0000"/>
          <w:sz w:val="28"/>
          <w:szCs w:val="28"/>
        </w:rPr>
        <w:t>；面向</w:t>
      </w:r>
      <w:r>
        <w:rPr>
          <w:rFonts w:ascii="宋体" w:hAnsi="宋体" w:eastAsia="宋体"/>
          <w:color w:val="FF0000"/>
          <w:sz w:val="28"/>
          <w:szCs w:val="28"/>
        </w:rPr>
        <w:t>且</w:t>
      </w:r>
      <w:r>
        <w:rPr>
          <w:rFonts w:hint="eastAsia" w:ascii="宋体" w:hAnsi="宋体" w:eastAsia="宋体"/>
          <w:color w:val="FF0000"/>
          <w:sz w:val="28"/>
          <w:szCs w:val="28"/>
        </w:rPr>
        <w:t>超200万元，</w:t>
      </w:r>
      <w:r>
        <w:rPr>
          <w:rFonts w:ascii="宋体" w:hAnsi="宋体" w:eastAsia="宋体"/>
          <w:color w:val="FF0000"/>
          <w:sz w:val="28"/>
          <w:szCs w:val="28"/>
        </w:rPr>
        <w:t>预算总额的</w:t>
      </w:r>
      <w:r>
        <w:rPr>
          <w:rFonts w:hint="eastAsia" w:ascii="宋体" w:hAnsi="宋体" w:eastAsia="宋体"/>
          <w:color w:val="FF0000"/>
          <w:sz w:val="28"/>
          <w:szCs w:val="28"/>
        </w:rPr>
        <w:t>30</w:t>
      </w:r>
      <w:r>
        <w:rPr>
          <w:rFonts w:ascii="宋体" w:hAnsi="宋体" w:eastAsia="宋体"/>
          <w:color w:val="FF0000"/>
          <w:sz w:val="28"/>
          <w:szCs w:val="28"/>
        </w:rPr>
        <w:t>%</w:t>
      </w:r>
      <w:r>
        <w:rPr>
          <w:rFonts w:hint="eastAsia" w:ascii="宋体" w:hAnsi="宋体" w:eastAsia="宋体"/>
          <w:color w:val="FF0000"/>
          <w:sz w:val="28"/>
          <w:szCs w:val="28"/>
        </w:rPr>
        <w:t>以上面向</w:t>
      </w:r>
      <w:r>
        <w:rPr>
          <w:rFonts w:ascii="宋体" w:hAnsi="宋体" w:eastAsia="宋体"/>
          <w:color w:val="FF0000"/>
          <w:sz w:val="28"/>
          <w:szCs w:val="28"/>
        </w:rPr>
        <w:t>中小</w:t>
      </w:r>
      <w:r>
        <w:rPr>
          <w:rFonts w:hint="eastAsia" w:ascii="宋体" w:hAnsi="宋体" w:eastAsia="宋体"/>
          <w:color w:val="FF0000"/>
          <w:sz w:val="28"/>
          <w:szCs w:val="28"/>
        </w:rPr>
        <w:t>企业</w:t>
      </w:r>
      <w:r>
        <w:rPr>
          <w:rFonts w:ascii="宋体" w:hAnsi="宋体" w:eastAsia="宋体"/>
          <w:color w:val="FF0000"/>
          <w:sz w:val="28"/>
          <w:szCs w:val="28"/>
        </w:rPr>
        <w:t>，其中</w:t>
      </w:r>
      <w:r>
        <w:rPr>
          <w:rFonts w:hint="eastAsia" w:ascii="宋体" w:hAnsi="宋体" w:eastAsia="宋体"/>
          <w:color w:val="FF0000"/>
          <w:sz w:val="28"/>
          <w:szCs w:val="28"/>
        </w:rPr>
        <w:t>的60</w:t>
      </w:r>
      <w:r>
        <w:rPr>
          <w:rFonts w:ascii="宋体" w:hAnsi="宋体" w:eastAsia="宋体"/>
          <w:color w:val="FF0000"/>
          <w:sz w:val="28"/>
          <w:szCs w:val="28"/>
        </w:rPr>
        <w:t>%以上</w:t>
      </w:r>
      <w:r>
        <w:rPr>
          <w:rFonts w:hint="eastAsia" w:ascii="宋体" w:hAnsi="宋体" w:eastAsia="宋体"/>
          <w:color w:val="FF0000"/>
          <w:sz w:val="28"/>
          <w:szCs w:val="28"/>
        </w:rPr>
        <w:t>面向</w:t>
      </w:r>
      <w:r>
        <w:rPr>
          <w:rFonts w:ascii="宋体" w:hAnsi="宋体" w:eastAsia="宋体"/>
          <w:color w:val="FF0000"/>
          <w:sz w:val="28"/>
          <w:szCs w:val="28"/>
        </w:rPr>
        <w:t>小微企业</w:t>
      </w:r>
      <w:r>
        <w:rPr>
          <w:rFonts w:hint="eastAsia" w:ascii="宋体" w:hAnsi="宋体" w:eastAsia="宋体"/>
          <w:sz w:val="28"/>
          <w:szCs w:val="28"/>
        </w:rPr>
        <w:t>）</w:t>
      </w:r>
    </w:p>
    <w:p>
      <w:pPr>
        <w:pStyle w:val="9"/>
        <w:tabs>
          <w:tab w:val="left" w:pos="709"/>
        </w:tabs>
        <w:ind w:firstLine="0" w:firstLineChars="0"/>
        <w:rPr>
          <w:rFonts w:hint="eastAsia" w:ascii="宋体" w:hAnsi="宋体" w:eastAsia="宋体"/>
          <w:sz w:val="28"/>
          <w:szCs w:val="28"/>
          <w:lang w:val="en-US" w:eastAsia="zh-CN"/>
        </w:rPr>
      </w:pPr>
      <w:r>
        <w:rPr>
          <w:rFonts w:hint="eastAsia" w:ascii="宋体" w:hAnsi="宋体" w:eastAsia="宋体"/>
          <w:sz w:val="28"/>
          <w:szCs w:val="28"/>
        </w:rPr>
        <w:t xml:space="preserve">    </w:t>
      </w:r>
      <w:r>
        <w:rPr>
          <w:rFonts w:hint="eastAsia" w:ascii="宋体" w:hAnsi="宋体" w:eastAsia="宋体"/>
          <w:sz w:val="28"/>
          <w:szCs w:val="28"/>
          <w:lang w:val="en-US" w:eastAsia="zh-CN"/>
        </w:rPr>
        <w:t>否</w:t>
      </w:r>
    </w:p>
    <w:p>
      <w:pPr>
        <w:pStyle w:val="9"/>
        <w:numPr>
          <w:ilvl w:val="0"/>
          <w:numId w:val="1"/>
        </w:numPr>
        <w:tabs>
          <w:tab w:val="left" w:pos="709"/>
        </w:tabs>
        <w:ind w:left="0" w:firstLine="0" w:firstLineChars="0"/>
        <w:rPr>
          <w:rFonts w:ascii="宋体" w:hAnsi="宋体" w:eastAsia="宋体"/>
          <w:sz w:val="28"/>
          <w:szCs w:val="28"/>
        </w:rPr>
      </w:pPr>
      <w:r>
        <w:rPr>
          <w:rFonts w:hint="eastAsia" w:ascii="宋体" w:hAnsi="宋体" w:eastAsia="宋体"/>
          <w:sz w:val="28"/>
          <w:szCs w:val="28"/>
        </w:rPr>
        <w:t>是否</w:t>
      </w:r>
      <w:r>
        <w:rPr>
          <w:rFonts w:ascii="宋体" w:hAnsi="宋体" w:eastAsia="宋体"/>
          <w:sz w:val="28"/>
          <w:szCs w:val="28"/>
        </w:rPr>
        <w:t>接受</w:t>
      </w:r>
      <w:r>
        <w:rPr>
          <w:rFonts w:hint="eastAsia" w:ascii="宋体" w:hAnsi="宋体" w:eastAsia="宋体"/>
          <w:sz w:val="28"/>
          <w:szCs w:val="28"/>
        </w:rPr>
        <w:t>联合体</w:t>
      </w:r>
      <w:r>
        <w:rPr>
          <w:rFonts w:ascii="宋体" w:hAnsi="宋体" w:eastAsia="宋体"/>
          <w:sz w:val="28"/>
          <w:szCs w:val="28"/>
        </w:rPr>
        <w:t>投标</w:t>
      </w:r>
    </w:p>
    <w:p>
      <w:pPr>
        <w:pStyle w:val="9"/>
        <w:tabs>
          <w:tab w:val="left" w:pos="709"/>
        </w:tabs>
        <w:ind w:firstLine="0" w:firstLineChars="0"/>
        <w:rPr>
          <w:rFonts w:hint="eastAsia" w:ascii="宋体" w:hAnsi="宋体" w:eastAsia="宋体"/>
          <w:sz w:val="28"/>
          <w:szCs w:val="28"/>
          <w:lang w:val="en-US" w:eastAsia="zh-CN"/>
        </w:rPr>
      </w:pPr>
      <w:r>
        <w:rPr>
          <w:rFonts w:hint="eastAsia" w:ascii="宋体" w:hAnsi="宋体" w:eastAsia="宋体"/>
          <w:sz w:val="28"/>
          <w:szCs w:val="28"/>
        </w:rPr>
        <w:t xml:space="preserve">    </w:t>
      </w:r>
      <w:r>
        <w:rPr>
          <w:rFonts w:hint="eastAsia" w:ascii="宋体" w:hAnsi="宋体" w:eastAsia="宋体"/>
          <w:sz w:val="28"/>
          <w:szCs w:val="28"/>
          <w:lang w:val="en-US" w:eastAsia="zh-CN"/>
        </w:rPr>
        <w:t>否</w:t>
      </w:r>
    </w:p>
    <w:p>
      <w:pPr>
        <w:pStyle w:val="9"/>
        <w:numPr>
          <w:ilvl w:val="0"/>
          <w:numId w:val="1"/>
        </w:numPr>
        <w:tabs>
          <w:tab w:val="left" w:pos="709"/>
        </w:tabs>
        <w:ind w:left="0" w:firstLine="0" w:firstLineChars="0"/>
        <w:rPr>
          <w:rFonts w:ascii="宋体" w:hAnsi="宋体" w:eastAsia="宋体"/>
          <w:sz w:val="28"/>
          <w:szCs w:val="28"/>
        </w:rPr>
      </w:pPr>
      <w:r>
        <w:rPr>
          <w:rFonts w:hint="eastAsia" w:ascii="宋体" w:hAnsi="宋体" w:eastAsia="宋体"/>
          <w:sz w:val="28"/>
          <w:szCs w:val="28"/>
        </w:rPr>
        <w:t>技术/服务要求</w:t>
      </w:r>
      <w:r>
        <w:rPr>
          <w:rFonts w:ascii="宋体" w:hAnsi="宋体" w:eastAsia="宋体"/>
          <w:sz w:val="28"/>
          <w:szCs w:val="28"/>
        </w:rPr>
        <w:t>（</w:t>
      </w:r>
      <w:r>
        <w:rPr>
          <w:rFonts w:hint="eastAsia" w:ascii="宋体" w:hAnsi="宋体" w:eastAsia="宋体"/>
          <w:color w:val="FF0000"/>
          <w:sz w:val="28"/>
          <w:szCs w:val="28"/>
        </w:rPr>
        <w:t>如服务内容</w:t>
      </w:r>
      <w:r>
        <w:rPr>
          <w:rFonts w:ascii="宋体" w:hAnsi="宋体" w:eastAsia="宋体"/>
          <w:color w:val="FF0000"/>
          <w:sz w:val="28"/>
          <w:szCs w:val="28"/>
        </w:rPr>
        <w:t>、</w:t>
      </w:r>
      <w:r>
        <w:rPr>
          <w:rFonts w:hint="eastAsia" w:ascii="宋体" w:hAnsi="宋体" w:eastAsia="宋体"/>
          <w:color w:val="FF0000"/>
          <w:sz w:val="28"/>
          <w:szCs w:val="28"/>
        </w:rPr>
        <w:t>服务地点</w:t>
      </w:r>
      <w:r>
        <w:rPr>
          <w:rFonts w:ascii="宋体" w:hAnsi="宋体" w:eastAsia="宋体"/>
          <w:color w:val="FF0000"/>
          <w:sz w:val="28"/>
          <w:szCs w:val="28"/>
        </w:rPr>
        <w:t>、服务时间、服务</w:t>
      </w:r>
      <w:r>
        <w:rPr>
          <w:rFonts w:hint="eastAsia" w:ascii="宋体" w:hAnsi="宋体" w:eastAsia="宋体"/>
          <w:color w:val="FF0000"/>
          <w:sz w:val="28"/>
          <w:szCs w:val="28"/>
        </w:rPr>
        <w:t>质量或</w:t>
      </w:r>
      <w:r>
        <w:rPr>
          <w:rFonts w:ascii="宋体" w:hAnsi="宋体" w:eastAsia="宋体"/>
          <w:color w:val="FF0000"/>
          <w:sz w:val="28"/>
          <w:szCs w:val="28"/>
        </w:rPr>
        <w:t>标准、岗位配置</w:t>
      </w:r>
      <w:r>
        <w:rPr>
          <w:rFonts w:hint="eastAsia" w:ascii="宋体" w:hAnsi="宋体" w:eastAsia="宋体"/>
          <w:color w:val="FF0000"/>
          <w:sz w:val="28"/>
          <w:szCs w:val="28"/>
        </w:rPr>
        <w:t>、人员要求、培训</w:t>
      </w:r>
      <w:r>
        <w:rPr>
          <w:rFonts w:ascii="宋体" w:hAnsi="宋体" w:eastAsia="宋体"/>
          <w:color w:val="FF0000"/>
          <w:sz w:val="28"/>
          <w:szCs w:val="28"/>
        </w:rPr>
        <w:t>要求</w:t>
      </w:r>
      <w:r>
        <w:rPr>
          <w:rFonts w:hint="eastAsia" w:ascii="宋体" w:hAnsi="宋体" w:eastAsia="宋体"/>
          <w:color w:val="FF0000"/>
          <w:sz w:val="28"/>
          <w:szCs w:val="28"/>
        </w:rPr>
        <w:t>等，</w:t>
      </w:r>
      <w:r>
        <w:rPr>
          <w:rFonts w:ascii="宋体" w:hAnsi="宋体" w:eastAsia="宋体"/>
          <w:color w:val="FF0000"/>
          <w:sz w:val="28"/>
          <w:szCs w:val="28"/>
        </w:rPr>
        <w:t>注意“</w:t>
      </w:r>
      <w:r>
        <w:rPr>
          <w:rFonts w:hint="eastAsia" w:ascii="宋体" w:hAnsi="宋体" w:eastAsia="宋体"/>
          <w:color w:val="FF0000"/>
          <w:sz w:val="28"/>
          <w:szCs w:val="28"/>
        </w:rPr>
        <w:t>客观</w:t>
      </w:r>
      <w:r>
        <w:rPr>
          <w:rFonts w:ascii="宋体" w:hAnsi="宋体" w:eastAsia="宋体"/>
          <w:color w:val="FF0000"/>
          <w:sz w:val="28"/>
          <w:szCs w:val="28"/>
        </w:rPr>
        <w:t>、量化”</w:t>
      </w:r>
      <w:r>
        <w:rPr>
          <w:rFonts w:hint="eastAsia" w:ascii="宋体" w:hAnsi="宋体" w:eastAsia="宋体"/>
          <w:color w:val="FF0000"/>
          <w:sz w:val="28"/>
          <w:szCs w:val="28"/>
        </w:rPr>
        <w:t>的</w:t>
      </w:r>
      <w:r>
        <w:rPr>
          <w:rFonts w:ascii="宋体" w:hAnsi="宋体" w:eastAsia="宋体"/>
          <w:color w:val="FF0000"/>
          <w:sz w:val="28"/>
          <w:szCs w:val="28"/>
        </w:rPr>
        <w:t>原则</w:t>
      </w:r>
      <w:r>
        <w:rPr>
          <w:rFonts w:hint="eastAsia" w:ascii="宋体" w:hAnsi="宋体" w:eastAsia="宋体"/>
          <w:color w:val="FF0000"/>
          <w:sz w:val="28"/>
          <w:szCs w:val="28"/>
        </w:rPr>
        <w:t>，其中</w:t>
      </w:r>
      <w:r>
        <w:rPr>
          <w:rFonts w:ascii="宋体" w:hAnsi="宋体" w:eastAsia="宋体"/>
          <w:color w:val="FF0000"/>
          <w:sz w:val="28"/>
          <w:szCs w:val="28"/>
        </w:rPr>
        <w:t>针对客观但不可量化</w:t>
      </w:r>
      <w:r>
        <w:rPr>
          <w:rFonts w:hint="eastAsia" w:ascii="宋体" w:hAnsi="宋体" w:eastAsia="宋体"/>
          <w:color w:val="FF0000"/>
          <w:sz w:val="28"/>
          <w:szCs w:val="28"/>
        </w:rPr>
        <w:t>的</w:t>
      </w:r>
      <w:r>
        <w:rPr>
          <w:rFonts w:ascii="宋体" w:hAnsi="宋体" w:eastAsia="宋体"/>
          <w:color w:val="FF0000"/>
          <w:sz w:val="28"/>
          <w:szCs w:val="28"/>
        </w:rPr>
        <w:t>要求，</w:t>
      </w:r>
      <w:r>
        <w:rPr>
          <w:rFonts w:hint="eastAsia" w:ascii="宋体" w:hAnsi="宋体" w:eastAsia="宋体"/>
          <w:color w:val="FF0000"/>
          <w:sz w:val="28"/>
          <w:szCs w:val="28"/>
        </w:rPr>
        <w:t>建议</w:t>
      </w:r>
      <w:r>
        <w:rPr>
          <w:rFonts w:ascii="宋体" w:hAnsi="宋体" w:eastAsia="宋体"/>
          <w:color w:val="FF0000"/>
          <w:sz w:val="28"/>
          <w:szCs w:val="28"/>
        </w:rPr>
        <w:t>按需设置为实质性条件，即加☆</w:t>
      </w:r>
      <w:r>
        <w:rPr>
          <w:rFonts w:hint="eastAsia" w:ascii="宋体" w:hAnsi="宋体" w:eastAsia="宋体"/>
          <w:color w:val="FF0000"/>
          <w:sz w:val="28"/>
          <w:szCs w:val="28"/>
        </w:rPr>
        <w:t>号</w:t>
      </w:r>
      <w:r>
        <w:rPr>
          <w:rFonts w:ascii="宋体" w:hAnsi="宋体" w:eastAsia="宋体"/>
          <w:sz w:val="28"/>
          <w:szCs w:val="28"/>
        </w:rPr>
        <w:t>）</w:t>
      </w:r>
    </w:p>
    <w:p>
      <w:pPr>
        <w:pStyle w:val="9"/>
        <w:numPr>
          <w:ilvl w:val="0"/>
          <w:numId w:val="0"/>
        </w:numPr>
        <w:spacing w:line="360" w:lineRule="auto"/>
        <w:rPr>
          <w:rFonts w:ascii="宋体" w:hAnsi="宋体" w:eastAsia="宋体"/>
          <w:sz w:val="24"/>
          <w:szCs w:val="24"/>
        </w:rPr>
      </w:pPr>
      <w:r>
        <w:rPr>
          <w:rFonts w:hint="eastAsia" w:ascii="仿宋" w:hAnsi="仿宋" w:eastAsia="仿宋" w:cs="仿宋"/>
          <w:b/>
          <w:szCs w:val="21"/>
          <w:lang w:eastAsia="zh-CN"/>
        </w:rPr>
        <w:t>（</w:t>
      </w:r>
      <w:r>
        <w:rPr>
          <w:rFonts w:hint="eastAsia" w:ascii="仿宋" w:hAnsi="仿宋" w:eastAsia="仿宋" w:cs="仿宋"/>
          <w:b/>
          <w:szCs w:val="21"/>
          <w:lang w:val="en-US" w:eastAsia="zh-CN"/>
        </w:rPr>
        <w:t>一</w:t>
      </w:r>
      <w:r>
        <w:rPr>
          <w:rFonts w:hint="eastAsia" w:ascii="仿宋" w:hAnsi="仿宋" w:eastAsia="仿宋" w:cs="仿宋"/>
          <w:b/>
          <w:szCs w:val="21"/>
          <w:lang w:eastAsia="zh-CN"/>
        </w:rPr>
        <w:t>）</w:t>
      </w:r>
      <w:r>
        <w:rPr>
          <w:rFonts w:hint="eastAsia" w:ascii="仿宋" w:hAnsi="仿宋" w:eastAsia="仿宋" w:cs="仿宋"/>
          <w:b/>
          <w:szCs w:val="21"/>
        </w:rPr>
        <w:t>委托检验服务需求</w:t>
      </w:r>
    </w:p>
    <w:p>
      <w:pPr>
        <w:pStyle w:val="9"/>
        <w:numPr>
          <w:ilvl w:val="-1"/>
          <w:numId w:val="0"/>
        </w:numPr>
        <w:spacing w:line="360" w:lineRule="auto"/>
        <w:ind w:left="0" w:firstLine="0" w:firstLineChars="0"/>
        <w:rPr>
          <w:rFonts w:ascii="宋体" w:hAnsi="宋体" w:eastAsia="宋体"/>
          <w:sz w:val="24"/>
          <w:szCs w:val="24"/>
        </w:rPr>
      </w:pPr>
      <w:r>
        <w:rPr>
          <w:rFonts w:ascii="宋体" w:hAnsi="宋体" w:eastAsia="宋体"/>
          <w:sz w:val="24"/>
          <w:szCs w:val="24"/>
        </w:rPr>
        <w:t>投标人必须全部响应以下</w:t>
      </w:r>
      <w:r>
        <w:rPr>
          <w:rFonts w:hint="eastAsia" w:ascii="宋体" w:hAnsi="宋体" w:eastAsia="宋体"/>
          <w:sz w:val="24"/>
          <w:szCs w:val="24"/>
          <w:lang w:val="en-US" w:eastAsia="zh-CN"/>
        </w:rPr>
        <w:t>2</w:t>
      </w:r>
      <w:r>
        <w:rPr>
          <w:rFonts w:ascii="宋体" w:hAnsi="宋体" w:eastAsia="宋体"/>
          <w:sz w:val="24"/>
          <w:szCs w:val="24"/>
        </w:rPr>
        <w:t>个检测项目</w:t>
      </w:r>
      <w:r>
        <w:rPr>
          <w:rFonts w:hint="eastAsia" w:ascii="宋体" w:hAnsi="宋体" w:eastAsia="宋体"/>
          <w:sz w:val="24"/>
          <w:szCs w:val="24"/>
          <w:lang w:val="en-US" w:eastAsia="zh-CN"/>
        </w:rPr>
        <w:t>及其</w:t>
      </w:r>
      <w:r>
        <w:rPr>
          <w:rFonts w:ascii="宋体" w:hAnsi="宋体" w:eastAsia="宋体"/>
          <w:sz w:val="24"/>
          <w:szCs w:val="24"/>
        </w:rPr>
        <w:t>检测方法学和报告时限。</w:t>
      </w:r>
    </w:p>
    <w:p>
      <w:pPr>
        <w:pStyle w:val="9"/>
        <w:numPr>
          <w:ilvl w:val="0"/>
          <w:numId w:val="0"/>
        </w:numPr>
        <w:spacing w:line="360" w:lineRule="auto"/>
        <w:ind w:left="210" w:leftChars="0"/>
        <w:rPr>
          <w:rFonts w:ascii="宋体" w:hAnsi="宋体" w:eastAsia="宋体"/>
          <w:sz w:val="24"/>
          <w:szCs w:val="24"/>
        </w:rPr>
      </w:pPr>
      <w:r>
        <w:rPr>
          <w:rFonts w:ascii="宋体" w:hAnsi="宋体" w:eastAsia="宋体" w:cs="Times New Roman"/>
          <w:color w:val="000000" w:themeColor="text1"/>
          <w:sz w:val="24"/>
          <w:szCs w:val="24"/>
          <w14:textFill>
            <w14:solidFill>
              <w14:schemeClr w14:val="tx1"/>
            </w14:solidFill>
          </w14:textFill>
        </w:rPr>
        <w:t>▲</w:t>
      </w:r>
      <w:r>
        <w:rPr>
          <w:rFonts w:ascii="宋体" w:hAnsi="宋体" w:eastAsia="宋体"/>
          <w:sz w:val="24"/>
          <w:szCs w:val="24"/>
        </w:rPr>
        <w:t>委托检验项目服务清单（采购标的清单）如下：</w:t>
      </w:r>
    </w:p>
    <w:tbl>
      <w:tblPr>
        <w:tblStyle w:val="6"/>
        <w:tblW w:w="8518" w:type="dxa"/>
        <w:jc w:val="center"/>
        <w:tblLayout w:type="autofit"/>
        <w:tblCellMar>
          <w:top w:w="0" w:type="dxa"/>
          <w:left w:w="108" w:type="dxa"/>
          <w:bottom w:w="0" w:type="dxa"/>
          <w:right w:w="108" w:type="dxa"/>
        </w:tblCellMar>
      </w:tblPr>
      <w:tblGrid>
        <w:gridCol w:w="778"/>
        <w:gridCol w:w="2787"/>
        <w:gridCol w:w="1425"/>
        <w:gridCol w:w="1282"/>
        <w:gridCol w:w="1123"/>
        <w:gridCol w:w="1123"/>
      </w:tblGrid>
      <w:tr>
        <w:tblPrEx>
          <w:tblCellMar>
            <w:top w:w="0" w:type="dxa"/>
            <w:left w:w="108" w:type="dxa"/>
            <w:bottom w:w="0" w:type="dxa"/>
            <w:right w:w="108" w:type="dxa"/>
          </w:tblCellMar>
        </w:tblPrEx>
        <w:trPr>
          <w:trHeight w:val="454" w:hRule="atLeast"/>
          <w:jc w:val="center"/>
        </w:trPr>
        <w:tc>
          <w:tcPr>
            <w:tcW w:w="778" w:type="dxa"/>
            <w:tcBorders>
              <w:top w:val="single" w:color="000000" w:themeColor="text1" w:sz="18" w:space="0"/>
              <w:left w:val="single" w:color="000000" w:themeColor="text1" w:sz="18"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787" w:type="dxa"/>
            <w:tcBorders>
              <w:top w:val="single" w:color="000000" w:themeColor="text1" w:sz="18"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1425" w:type="dxa"/>
            <w:tcBorders>
              <w:top w:val="single" w:color="000000" w:themeColor="text1" w:sz="18"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检测方法学</w:t>
            </w:r>
          </w:p>
        </w:tc>
        <w:tc>
          <w:tcPr>
            <w:tcW w:w="1282" w:type="dxa"/>
            <w:tcBorders>
              <w:top w:val="single" w:color="000000" w:themeColor="text1" w:sz="18" w:space="0"/>
              <w:left w:val="single" w:color="auto" w:sz="4" w:space="0"/>
              <w:bottom w:val="single" w:color="auto" w:sz="4" w:space="0"/>
              <w:right w:val="single" w:color="000000" w:themeColor="text1" w:sz="18" w:space="0"/>
            </w:tcBorders>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报告时限</w:t>
            </w:r>
          </w:p>
        </w:tc>
        <w:tc>
          <w:tcPr>
            <w:tcW w:w="1123" w:type="dxa"/>
            <w:tcBorders>
              <w:top w:val="single" w:color="000000" w:themeColor="text1" w:sz="18" w:space="0"/>
              <w:left w:val="single" w:color="auto" w:sz="4" w:space="0"/>
              <w:bottom w:val="single" w:color="auto" w:sz="4" w:space="0"/>
              <w:right w:val="single" w:color="000000" w:themeColor="text1" w:sz="18" w:space="0"/>
            </w:tcBorders>
            <w:vAlign w:val="center"/>
          </w:tcPr>
          <w:p>
            <w:pPr>
              <w:kinsoku w:val="0"/>
              <w:overflowPunct w:val="0"/>
              <w:spacing w:before="2"/>
              <w:jc w:val="center"/>
              <w:rPr>
                <w:rFonts w:hint="eastAsia" w:ascii="宋体" w:hAnsi="宋体" w:eastAsia="宋体" w:cs="宋体"/>
                <w:b/>
                <w:bCs/>
                <w:color w:val="000000"/>
                <w:kern w:val="0"/>
                <w:sz w:val="24"/>
                <w:szCs w:val="24"/>
              </w:rPr>
            </w:pPr>
            <w:r>
              <w:rPr>
                <w:rFonts w:hint="eastAsia" w:ascii="宋体" w:hAnsi="宋体"/>
                <w:sz w:val="21"/>
                <w:szCs w:val="22"/>
              </w:rPr>
              <w:t>是否响应</w:t>
            </w:r>
          </w:p>
        </w:tc>
        <w:tc>
          <w:tcPr>
            <w:tcW w:w="1123" w:type="dxa"/>
            <w:tcBorders>
              <w:top w:val="single" w:color="000000" w:themeColor="text1" w:sz="18" w:space="0"/>
              <w:left w:val="single" w:color="auto" w:sz="4" w:space="0"/>
              <w:bottom w:val="single" w:color="auto" w:sz="4" w:space="0"/>
              <w:right w:val="single" w:color="000000" w:themeColor="text1" w:sz="18" w:space="0"/>
            </w:tcBorders>
            <w:vAlign w:val="center"/>
          </w:tcPr>
          <w:p>
            <w:pPr>
              <w:kinsoku w:val="0"/>
              <w:overflowPunct w:val="0"/>
              <w:spacing w:before="2"/>
              <w:jc w:val="center"/>
              <w:rPr>
                <w:rFonts w:hint="eastAsia" w:ascii="宋体" w:hAnsi="宋体" w:eastAsia="宋体" w:cs="宋体"/>
                <w:b/>
                <w:bCs/>
                <w:color w:val="000000"/>
                <w:kern w:val="0"/>
                <w:sz w:val="24"/>
                <w:szCs w:val="24"/>
                <w:lang w:eastAsia="zh-CN"/>
              </w:rPr>
            </w:pPr>
            <w:r>
              <w:rPr>
                <w:rFonts w:hint="eastAsia" w:ascii="宋体" w:hAnsi="宋体" w:eastAsia="宋体"/>
                <w:sz w:val="21"/>
                <w:szCs w:val="22"/>
                <w:lang w:val="en-US" w:eastAsia="zh-CN"/>
              </w:rPr>
              <w:t>报价</w:t>
            </w:r>
          </w:p>
        </w:tc>
      </w:tr>
      <w:tr>
        <w:tblPrEx>
          <w:tblCellMar>
            <w:top w:w="0" w:type="dxa"/>
            <w:left w:w="108" w:type="dxa"/>
            <w:bottom w:w="0" w:type="dxa"/>
            <w:right w:w="108" w:type="dxa"/>
          </w:tblCellMar>
        </w:tblPrEx>
        <w:trPr>
          <w:trHeight w:val="454" w:hRule="atLeast"/>
          <w:jc w:val="center"/>
        </w:trPr>
        <w:tc>
          <w:tcPr>
            <w:tcW w:w="778" w:type="dxa"/>
            <w:tcBorders>
              <w:top w:val="nil"/>
              <w:left w:val="single" w:color="000000" w:themeColor="text1" w:sz="1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78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新型冠状病毒核酸检测（单采）-含人或环境标本</w:t>
            </w:r>
          </w:p>
        </w:tc>
        <w:tc>
          <w:tcPr>
            <w:tcW w:w="1425"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荧光定量PCR法</w:t>
            </w:r>
          </w:p>
        </w:tc>
        <w:tc>
          <w:tcPr>
            <w:tcW w:w="1282" w:type="dxa"/>
            <w:tcBorders>
              <w:top w:val="nil"/>
              <w:left w:val="single" w:color="auto" w:sz="4" w:space="0"/>
              <w:bottom w:val="single" w:color="auto" w:sz="4" w:space="0"/>
              <w:right w:val="single" w:color="000000" w:themeColor="text1" w:sz="18" w:space="0"/>
            </w:tcBorders>
            <w:vAlign w:val="center"/>
          </w:tcPr>
          <w:p>
            <w:pPr>
              <w:widowControl/>
              <w:jc w:val="left"/>
              <w:rPr>
                <w:rFonts w:hint="eastAsia"/>
                <w:lang w:val="en-US" w:eastAsia="zh-CN"/>
              </w:rPr>
            </w:pPr>
            <w:r>
              <w:rPr>
                <w:rFonts w:hint="eastAsia"/>
                <w:lang w:val="en-US" w:eastAsia="zh-CN"/>
              </w:rPr>
              <w:t>急标本：4-6个小时</w:t>
            </w:r>
          </w:p>
          <w:p>
            <w:pPr>
              <w:widowControl/>
              <w:jc w:val="left"/>
              <w:rPr>
                <w:rFonts w:hint="default"/>
                <w:lang w:val="en-US" w:eastAsia="zh-CN"/>
              </w:rPr>
            </w:pPr>
            <w:r>
              <w:rPr>
                <w:rFonts w:hint="eastAsia"/>
                <w:lang w:val="en-US" w:eastAsia="zh-CN"/>
              </w:rPr>
              <w:t>平诊标本：6-12小时</w:t>
            </w:r>
          </w:p>
        </w:tc>
        <w:tc>
          <w:tcPr>
            <w:tcW w:w="1123" w:type="dxa"/>
            <w:tcBorders>
              <w:top w:val="nil"/>
              <w:left w:val="single" w:color="auto" w:sz="4" w:space="0"/>
              <w:bottom w:val="single" w:color="auto" w:sz="4" w:space="0"/>
              <w:right w:val="single" w:color="000000" w:themeColor="text1" w:sz="18" w:space="0"/>
            </w:tcBorders>
            <w:vAlign w:val="center"/>
          </w:tcPr>
          <w:p>
            <w:pPr>
              <w:widowControl/>
              <w:jc w:val="left"/>
              <w:rPr>
                <w:rFonts w:hint="eastAsia" w:ascii="宋体" w:hAnsi="宋体" w:eastAsia="宋体" w:cs="宋体"/>
                <w:color w:val="000000"/>
                <w:kern w:val="0"/>
                <w:szCs w:val="21"/>
              </w:rPr>
            </w:pPr>
          </w:p>
        </w:tc>
        <w:tc>
          <w:tcPr>
            <w:tcW w:w="1123" w:type="dxa"/>
            <w:tcBorders>
              <w:top w:val="nil"/>
              <w:left w:val="single" w:color="auto" w:sz="4" w:space="0"/>
              <w:bottom w:val="single" w:color="auto" w:sz="4" w:space="0"/>
              <w:right w:val="single" w:color="000000" w:themeColor="text1" w:sz="18" w:space="0"/>
            </w:tcBorders>
            <w:vAlign w:val="center"/>
          </w:tcPr>
          <w:p>
            <w:pPr>
              <w:widowControl/>
              <w:jc w:val="left"/>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454" w:hRule="atLeast"/>
          <w:jc w:val="center"/>
        </w:trPr>
        <w:tc>
          <w:tcPr>
            <w:tcW w:w="778" w:type="dxa"/>
            <w:tcBorders>
              <w:top w:val="nil"/>
              <w:left w:val="single" w:color="000000" w:themeColor="text1" w:sz="1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7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新型冠状病毒核酸检测（混采）</w:t>
            </w:r>
          </w:p>
        </w:tc>
        <w:tc>
          <w:tcPr>
            <w:tcW w:w="142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荧光定量PCR法</w:t>
            </w:r>
          </w:p>
        </w:tc>
        <w:tc>
          <w:tcPr>
            <w:tcW w:w="1282" w:type="dxa"/>
            <w:tcBorders>
              <w:top w:val="nil"/>
              <w:left w:val="single" w:color="auto" w:sz="4" w:space="0"/>
              <w:bottom w:val="single" w:color="auto" w:sz="4" w:space="0"/>
              <w:right w:val="single" w:color="000000" w:themeColor="text1" w:sz="18" w:space="0"/>
            </w:tcBorders>
            <w:vAlign w:val="center"/>
          </w:tcPr>
          <w:p>
            <w:pPr>
              <w:widowControl/>
              <w:jc w:val="left"/>
              <w:rPr>
                <w:rFonts w:hint="eastAsia"/>
                <w:lang w:val="en-US" w:eastAsia="zh-CN"/>
              </w:rPr>
            </w:pPr>
            <w:r>
              <w:rPr>
                <w:rFonts w:hint="eastAsia"/>
                <w:lang w:val="en-US" w:eastAsia="zh-CN"/>
              </w:rPr>
              <w:t>急标本：4-6个小时</w:t>
            </w:r>
          </w:p>
          <w:p>
            <w:pPr>
              <w:widowControl/>
              <w:jc w:val="left"/>
              <w:rPr>
                <w:rFonts w:ascii="宋体" w:hAnsi="宋体" w:eastAsia="宋体" w:cs="宋体"/>
                <w:color w:val="000000"/>
                <w:kern w:val="0"/>
                <w:szCs w:val="21"/>
              </w:rPr>
            </w:pPr>
            <w:r>
              <w:rPr>
                <w:rFonts w:hint="eastAsia"/>
                <w:lang w:val="en-US" w:eastAsia="zh-CN"/>
              </w:rPr>
              <w:t>平诊标本：6-12小时</w:t>
            </w:r>
          </w:p>
        </w:tc>
        <w:tc>
          <w:tcPr>
            <w:tcW w:w="1123" w:type="dxa"/>
            <w:tcBorders>
              <w:top w:val="nil"/>
              <w:left w:val="single" w:color="auto" w:sz="4" w:space="0"/>
              <w:bottom w:val="single" w:color="auto" w:sz="4" w:space="0"/>
              <w:right w:val="single" w:color="000000" w:themeColor="text1" w:sz="18" w:space="0"/>
            </w:tcBorders>
            <w:vAlign w:val="center"/>
          </w:tcPr>
          <w:p>
            <w:pPr>
              <w:widowControl/>
              <w:jc w:val="left"/>
              <w:rPr>
                <w:rFonts w:hint="eastAsia" w:ascii="宋体" w:hAnsi="宋体" w:eastAsia="宋体" w:cs="宋体"/>
                <w:color w:val="000000"/>
                <w:kern w:val="0"/>
                <w:szCs w:val="21"/>
              </w:rPr>
            </w:pPr>
          </w:p>
        </w:tc>
        <w:tc>
          <w:tcPr>
            <w:tcW w:w="1123" w:type="dxa"/>
            <w:tcBorders>
              <w:top w:val="nil"/>
              <w:left w:val="single" w:color="auto" w:sz="4" w:space="0"/>
              <w:bottom w:val="single" w:color="auto" w:sz="4" w:space="0"/>
              <w:right w:val="single" w:color="000000" w:themeColor="text1" w:sz="18" w:space="0"/>
            </w:tcBorders>
            <w:vAlign w:val="center"/>
          </w:tcPr>
          <w:p>
            <w:pPr>
              <w:widowControl/>
              <w:jc w:val="left"/>
              <w:rPr>
                <w:rFonts w:hint="eastAsia" w:ascii="宋体" w:hAnsi="宋体" w:eastAsia="宋体" w:cs="宋体"/>
                <w:color w:val="000000"/>
                <w:kern w:val="0"/>
                <w:szCs w:val="21"/>
              </w:rPr>
            </w:pPr>
          </w:p>
        </w:tc>
      </w:tr>
    </w:tbl>
    <w:p>
      <w:pPr>
        <w:spacing w:line="400" w:lineRule="exact"/>
        <w:rPr>
          <w:rFonts w:ascii="仿宋" w:hAnsi="仿宋" w:eastAsia="仿宋"/>
          <w:b/>
          <w:bCs/>
          <w:sz w:val="24"/>
          <w:szCs w:val="24"/>
        </w:rPr>
      </w:pPr>
      <w:r>
        <w:rPr>
          <w:rFonts w:hint="eastAsia" w:ascii="仿宋" w:hAnsi="仿宋" w:eastAsia="仿宋"/>
          <w:b/>
          <w:bCs/>
          <w:sz w:val="24"/>
          <w:szCs w:val="24"/>
        </w:rPr>
        <w:t>（二）、委托检验服务特殊要求：</w:t>
      </w:r>
    </w:p>
    <w:p>
      <w:pPr>
        <w:pStyle w:val="2"/>
        <w:ind w:left="0" w:leftChars="0" w:firstLine="0" w:firstLineChars="0"/>
        <w:rPr>
          <w:rFonts w:hint="eastAsia" w:ascii="仿宋" w:hAnsi="仿宋" w:eastAsia="仿宋"/>
          <w:color w:val="000000"/>
          <w:sz w:val="24"/>
          <w:szCs w:val="24"/>
          <w:lang w:val="en-US" w:eastAsia="zh-CN"/>
        </w:rPr>
      </w:pPr>
      <w:r>
        <w:rPr>
          <w:rFonts w:hint="eastAsia" w:ascii="仿宋" w:hAnsi="仿宋" w:eastAsia="仿宋"/>
          <w:color w:val="FF0000"/>
          <w:sz w:val="24"/>
          <w:szCs w:val="24"/>
        </w:rPr>
        <w:t>★</w:t>
      </w:r>
      <w:r>
        <w:rPr>
          <w:rFonts w:hint="eastAsia" w:ascii="仿宋" w:hAnsi="仿宋" w:eastAsia="仿宋"/>
          <w:color w:val="000000"/>
          <w:sz w:val="24"/>
          <w:szCs w:val="24"/>
          <w:lang w:val="en-US" w:eastAsia="zh-CN"/>
        </w:rPr>
        <w:t>1.为满足新冠核酸检测报告时限要求，投标人须在番禺中心医院本部设立新冠核酸检测方舱实验室，方舱实验室须按照最大日检测量≥1万管进行配置。用于检测番禺中心医院医疗集团（包含东院区）新冠核酸标本和各级政府部门指派给采购人的新冠核酸检测任务。方舱实验室需包含但不仅限于以下设备：</w:t>
      </w:r>
    </w:p>
    <w:tbl>
      <w:tblPr>
        <w:tblStyle w:val="6"/>
        <w:tblW w:w="6272" w:type="dxa"/>
        <w:jc w:val="center"/>
        <w:tblLayout w:type="autofit"/>
        <w:tblCellMar>
          <w:top w:w="0" w:type="dxa"/>
          <w:left w:w="108" w:type="dxa"/>
          <w:bottom w:w="0" w:type="dxa"/>
          <w:right w:w="108" w:type="dxa"/>
        </w:tblCellMar>
      </w:tblPr>
      <w:tblGrid>
        <w:gridCol w:w="778"/>
        <w:gridCol w:w="2787"/>
        <w:gridCol w:w="1425"/>
        <w:gridCol w:w="1282"/>
      </w:tblGrid>
      <w:tr>
        <w:tblPrEx>
          <w:tblCellMar>
            <w:top w:w="0" w:type="dxa"/>
            <w:left w:w="108" w:type="dxa"/>
            <w:bottom w:w="0" w:type="dxa"/>
            <w:right w:w="108" w:type="dxa"/>
          </w:tblCellMar>
        </w:tblPrEx>
        <w:trPr>
          <w:trHeight w:val="454"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设备</w:t>
            </w:r>
            <w:r>
              <w:rPr>
                <w:rFonts w:hint="eastAsia" w:ascii="宋体" w:hAnsi="宋体" w:eastAsia="宋体" w:cs="宋体"/>
                <w:b/>
                <w:bCs/>
                <w:color w:val="000000"/>
                <w:kern w:val="0"/>
                <w:sz w:val="24"/>
                <w:szCs w:val="24"/>
              </w:rPr>
              <w:t>名称</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数量</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是否响应</w:t>
            </w:r>
          </w:p>
        </w:tc>
      </w:tr>
      <w:tr>
        <w:tblPrEx>
          <w:tblCellMar>
            <w:top w:w="0" w:type="dxa"/>
            <w:left w:w="108" w:type="dxa"/>
            <w:bottom w:w="0" w:type="dxa"/>
            <w:right w:w="108" w:type="dxa"/>
          </w:tblCellMar>
        </w:tblPrEx>
        <w:trPr>
          <w:trHeight w:val="454"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新冠核酸检测方舱实验室主舱</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1个</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lang w:val="en-US" w:eastAsia="zh-CN"/>
              </w:rPr>
            </w:pPr>
          </w:p>
        </w:tc>
      </w:tr>
      <w:tr>
        <w:tblPrEx>
          <w:tblCellMar>
            <w:top w:w="0" w:type="dxa"/>
            <w:left w:w="108" w:type="dxa"/>
            <w:bottom w:w="0" w:type="dxa"/>
            <w:right w:w="108" w:type="dxa"/>
          </w:tblCellMar>
        </w:tblPrEx>
        <w:trPr>
          <w:trHeight w:val="454"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生活舱</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1个</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54"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2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医疗垃圾暂存舱</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1个</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54"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2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超净工作台</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1台</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54"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2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低温冰箱（-20℃）</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2台</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54"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2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医用冷藏箱（2-8℃）</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3台</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54"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2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生物安全柜</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2台</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54"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2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全自动核酸提取仪</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3台</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54"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w:t>
            </w:r>
          </w:p>
        </w:tc>
        <w:tc>
          <w:tcPr>
            <w:tcW w:w="2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半自动核酸提取仪</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2台</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54"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2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荧光定量PCR仪</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12台</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54"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w:t>
            </w:r>
          </w:p>
        </w:tc>
        <w:tc>
          <w:tcPr>
            <w:tcW w:w="2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高压蒸汽灭菌锅（100升）</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2台</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54"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w:t>
            </w:r>
          </w:p>
        </w:tc>
        <w:tc>
          <w:tcPr>
            <w:tcW w:w="2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工作电脑</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5台</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54"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2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移液枪</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20套</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54"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w:t>
            </w:r>
          </w:p>
        </w:tc>
        <w:tc>
          <w:tcPr>
            <w:tcW w:w="2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迷你离心机</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2台</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54"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2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移动紫外车</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5台</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54"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2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简易淋浴间</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1间</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bl>
    <w:p>
      <w:pPr>
        <w:rPr>
          <w:rFonts w:hint="default"/>
          <w:lang w:val="en-US" w:eastAsia="zh-CN"/>
        </w:rPr>
      </w:pPr>
    </w:p>
    <w:p>
      <w:pPr>
        <w:pStyle w:val="2"/>
        <w:ind w:left="0" w:leftChars="0" w:firstLine="0" w:firstLineChars="0"/>
        <w:rPr>
          <w:rFonts w:hint="default" w:ascii="仿宋" w:hAnsi="仿宋" w:eastAsia="仿宋"/>
          <w:color w:val="FF0000"/>
          <w:sz w:val="24"/>
          <w:szCs w:val="24"/>
          <w:lang w:val="en-US"/>
        </w:rPr>
      </w:pPr>
      <w:r>
        <w:rPr>
          <w:rFonts w:hint="eastAsia" w:ascii="仿宋" w:hAnsi="仿宋" w:eastAsia="仿宋"/>
          <w:color w:val="000000"/>
          <w:sz w:val="24"/>
          <w:szCs w:val="24"/>
          <w:lang w:val="en-US" w:eastAsia="zh-CN"/>
        </w:rPr>
        <w:t>2.投标人在中标合同签订后3周内完成新冠核酸检测方舱实验室建设，并获得广东省临检中心和番禺区卫健局验收合格证书。方舱实验室符合开展新冠核酸检测各项要求，包括生物安全、消防安全、人员资质、检验质量、传染病报告时限等。</w:t>
      </w:r>
    </w:p>
    <w:p>
      <w:pPr>
        <w:pStyle w:val="2"/>
        <w:ind w:left="0" w:leftChars="0" w:firstLine="0" w:firstLineChars="0"/>
        <w:rPr>
          <w:rFonts w:hint="default" w:eastAsia="仿宋"/>
          <w:lang w:val="en-US" w:eastAsia="zh-CN"/>
        </w:rPr>
      </w:pPr>
      <w:r>
        <w:rPr>
          <w:rFonts w:hint="eastAsia" w:ascii="仿宋" w:hAnsi="仿宋" w:eastAsia="仿宋"/>
          <w:color w:val="FF0000"/>
          <w:sz w:val="24"/>
          <w:szCs w:val="24"/>
        </w:rPr>
        <w:t>★</w:t>
      </w:r>
      <w:r>
        <w:rPr>
          <w:rFonts w:hint="eastAsia" w:ascii="仿宋" w:hAnsi="仿宋" w:eastAsia="仿宋"/>
          <w:color w:val="000000"/>
          <w:sz w:val="24"/>
          <w:szCs w:val="24"/>
          <w:lang w:val="en-US" w:eastAsia="zh-CN"/>
        </w:rPr>
        <w:t>3.投标人需针对番禺中心医院医疗集团东院区的新冠核酸检测标本制定高效、安全、合理的标本运输和检测方案，确保东院区标本新冠核酸标本检测报告满足报告时限要求。</w:t>
      </w:r>
    </w:p>
    <w:p>
      <w:pPr>
        <w:spacing w:line="400" w:lineRule="exact"/>
        <w:ind w:left="480" w:hanging="480" w:hangingChars="200"/>
        <w:rPr>
          <w:rFonts w:ascii="仿宋" w:hAnsi="仿宋" w:eastAsia="仿宋"/>
          <w:color w:val="000000"/>
          <w:sz w:val="24"/>
          <w:szCs w:val="24"/>
        </w:rPr>
      </w:pPr>
      <w:r>
        <w:rPr>
          <w:rFonts w:hint="eastAsia" w:ascii="仿宋" w:hAnsi="仿宋" w:eastAsia="仿宋"/>
          <w:bCs/>
          <w:sz w:val="24"/>
          <w:szCs w:val="24"/>
          <w:lang w:val="en-US" w:eastAsia="zh-CN"/>
        </w:rPr>
        <w:t>4.</w:t>
      </w:r>
      <w:r>
        <w:rPr>
          <w:rFonts w:hint="eastAsia" w:ascii="仿宋" w:hAnsi="仿宋" w:eastAsia="仿宋"/>
          <w:bCs/>
          <w:sz w:val="24"/>
          <w:szCs w:val="24"/>
        </w:rPr>
        <w:t>对以上要求因存在不确定性，投标人需充分考虑经营风险。</w:t>
      </w:r>
    </w:p>
    <w:p>
      <w:pPr>
        <w:spacing w:line="400" w:lineRule="exact"/>
        <w:rPr>
          <w:rFonts w:ascii="仿宋" w:hAnsi="仿宋" w:eastAsia="仿宋"/>
          <w:b/>
          <w:bCs/>
          <w:sz w:val="24"/>
          <w:szCs w:val="24"/>
        </w:rPr>
      </w:pPr>
      <w:r>
        <w:rPr>
          <w:rFonts w:hint="eastAsia" w:ascii="仿宋" w:hAnsi="仿宋" w:eastAsia="仿宋"/>
          <w:b/>
          <w:bCs/>
          <w:sz w:val="24"/>
          <w:szCs w:val="24"/>
        </w:rPr>
        <w:t>（三）、投标人技术要求：</w:t>
      </w:r>
    </w:p>
    <w:p>
      <w:pPr>
        <w:spacing w:line="400" w:lineRule="exact"/>
        <w:rPr>
          <w:rFonts w:ascii="仿宋" w:hAnsi="仿宋" w:eastAsia="仿宋"/>
          <w:sz w:val="24"/>
          <w:szCs w:val="24"/>
        </w:rPr>
      </w:pPr>
      <w:r>
        <w:rPr>
          <w:rFonts w:hint="eastAsia" w:ascii="仿宋" w:hAnsi="仿宋" w:eastAsia="仿宋"/>
          <w:b/>
          <w:bCs/>
          <w:sz w:val="24"/>
          <w:szCs w:val="24"/>
        </w:rPr>
        <w:t>1.实验室要求：</w:t>
      </w:r>
    </w:p>
    <w:p>
      <w:pPr>
        <w:spacing w:line="400" w:lineRule="exact"/>
        <w:rPr>
          <w:rFonts w:ascii="仿宋" w:hAnsi="仿宋" w:eastAsia="仿宋"/>
          <w:color w:val="FF0000"/>
          <w:sz w:val="24"/>
          <w:szCs w:val="24"/>
        </w:rPr>
      </w:pPr>
      <w:r>
        <w:rPr>
          <w:rFonts w:hint="eastAsia" w:ascii="仿宋" w:hAnsi="仿宋" w:eastAsia="仿宋"/>
          <w:color w:val="FF0000"/>
          <w:sz w:val="24"/>
          <w:szCs w:val="24"/>
        </w:rPr>
        <w:t xml:space="preserve">★1.1投标人拥有自己的医学检测实验室，实验室有完善的质量管理体系，提供IS015189或CAP或ISO17025或ISO9001认证证书作为辅证（提供证明文件复印件）。 </w:t>
      </w:r>
    </w:p>
    <w:p>
      <w:pPr>
        <w:spacing w:line="400" w:lineRule="exact"/>
        <w:rPr>
          <w:rFonts w:hint="eastAsia" w:ascii="仿宋" w:hAnsi="仿宋" w:eastAsia="仿宋"/>
          <w:color w:val="FF0000"/>
          <w:sz w:val="24"/>
          <w:szCs w:val="24"/>
        </w:rPr>
      </w:pPr>
      <w:r>
        <w:rPr>
          <w:rFonts w:hint="eastAsia" w:ascii="仿宋" w:hAnsi="仿宋" w:eastAsia="仿宋"/>
          <w:color w:val="FF0000"/>
          <w:sz w:val="24"/>
          <w:szCs w:val="24"/>
        </w:rPr>
        <w:t>★1.2投标人实验室必须具有临床检验中心颁发的PCR临床基因扩增检验实验室技术审核验收合格证书，附开展项目</w:t>
      </w:r>
      <w:r>
        <w:rPr>
          <w:rFonts w:hint="eastAsia" w:ascii="仿宋" w:hAnsi="仿宋" w:eastAsia="仿宋"/>
          <w:color w:val="FF0000"/>
          <w:sz w:val="24"/>
          <w:szCs w:val="24"/>
          <w:lang w:val="en-US" w:eastAsia="zh-CN"/>
        </w:rPr>
        <w:t>包含</w:t>
      </w:r>
      <w:r>
        <w:rPr>
          <w:rFonts w:hint="eastAsia" w:ascii="仿宋" w:hAnsi="仿宋" w:eastAsia="仿宋"/>
          <w:color w:val="FF0000"/>
          <w:sz w:val="24"/>
          <w:szCs w:val="24"/>
        </w:rPr>
        <w:t>“新型冠状病毒核酸检测”（提供证明文件复印件）。</w:t>
      </w:r>
    </w:p>
    <w:p>
      <w:pPr>
        <w:spacing w:line="400" w:lineRule="exact"/>
        <w:rPr>
          <w:rFonts w:ascii="仿宋" w:hAnsi="仿宋" w:eastAsia="仿宋"/>
          <w:color w:val="FF0000"/>
          <w:sz w:val="24"/>
          <w:szCs w:val="24"/>
        </w:rPr>
      </w:pPr>
      <w:r>
        <w:rPr>
          <w:rFonts w:hint="eastAsia" w:ascii="仿宋" w:hAnsi="仿宋" w:eastAsia="仿宋"/>
          <w:color w:val="FF0000"/>
          <w:sz w:val="24"/>
          <w:szCs w:val="24"/>
        </w:rPr>
        <w:t>★</w:t>
      </w:r>
      <w:r>
        <w:rPr>
          <w:rFonts w:hint="eastAsia" w:ascii="仿宋" w:hAnsi="仿宋" w:eastAsia="仿宋"/>
          <w:color w:val="FF0000"/>
          <w:sz w:val="24"/>
          <w:szCs w:val="24"/>
          <w:lang w:val="en-US" w:eastAsia="zh-CN"/>
        </w:rPr>
        <w:t>1.3</w:t>
      </w:r>
      <w:r>
        <w:rPr>
          <w:rFonts w:hint="eastAsia" w:ascii="仿宋" w:hAnsi="仿宋" w:eastAsia="仿宋"/>
          <w:color w:val="FF0000"/>
          <w:sz w:val="24"/>
          <w:szCs w:val="24"/>
        </w:rPr>
        <w:t>有参加国家卫生部以及广东省临床检验中心组织的新型冠状病毒核酸检测室间质评（提供室间质评证明文件复印件）。</w:t>
      </w:r>
    </w:p>
    <w:p>
      <w:pPr>
        <w:spacing w:line="400" w:lineRule="exact"/>
        <w:rPr>
          <w:rFonts w:hint="eastAsia" w:ascii="仿宋" w:hAnsi="仿宋" w:eastAsia="仿宋"/>
          <w:color w:val="FF0000"/>
          <w:sz w:val="24"/>
          <w:szCs w:val="24"/>
        </w:rPr>
      </w:pPr>
      <w:r>
        <w:rPr>
          <w:rFonts w:hint="eastAsia" w:ascii="仿宋" w:hAnsi="仿宋" w:eastAsia="仿宋"/>
          <w:color w:val="FF0000"/>
          <w:sz w:val="24"/>
          <w:szCs w:val="24"/>
        </w:rPr>
        <w:t>★1.</w:t>
      </w:r>
      <w:r>
        <w:rPr>
          <w:rFonts w:hint="eastAsia" w:ascii="仿宋" w:hAnsi="仿宋" w:eastAsia="仿宋"/>
          <w:color w:val="FF0000"/>
          <w:sz w:val="24"/>
          <w:szCs w:val="24"/>
          <w:lang w:val="en-US" w:eastAsia="zh-CN"/>
        </w:rPr>
        <w:t>4</w:t>
      </w:r>
      <w:r>
        <w:rPr>
          <w:rFonts w:hint="eastAsia" w:ascii="仿宋" w:hAnsi="仿宋" w:eastAsia="仿宋"/>
          <w:color w:val="FF0000"/>
          <w:sz w:val="24"/>
          <w:szCs w:val="24"/>
        </w:rPr>
        <w:t>投标人实验室须拥有完善的分子诊断技术平台，包括定性PCR、定量PCR</w:t>
      </w:r>
      <w:r>
        <w:rPr>
          <w:rFonts w:hint="eastAsia" w:ascii="仿宋" w:hAnsi="仿宋" w:eastAsia="仿宋"/>
          <w:color w:val="FF0000"/>
          <w:sz w:val="24"/>
          <w:szCs w:val="24"/>
          <w:lang w:val="en-US" w:eastAsia="zh-CN"/>
        </w:rPr>
        <w:t>平台</w:t>
      </w:r>
      <w:r>
        <w:rPr>
          <w:rFonts w:hint="eastAsia" w:ascii="仿宋" w:hAnsi="仿宋" w:eastAsia="仿宋"/>
          <w:color w:val="FF0000"/>
          <w:sz w:val="24"/>
          <w:szCs w:val="24"/>
        </w:rPr>
        <w:t>（提供证明文件复印件）。</w:t>
      </w:r>
    </w:p>
    <w:p>
      <w:pPr>
        <w:pStyle w:val="9"/>
        <w:numPr>
          <w:ilvl w:val="0"/>
          <w:numId w:val="0"/>
        </w:numPr>
        <w:spacing w:line="360" w:lineRule="auto"/>
        <w:ind w:leftChars="0"/>
        <w:jc w:val="left"/>
        <w:rPr>
          <w:rFonts w:hint="eastAsia" w:ascii="仿宋" w:hAnsi="仿宋" w:eastAsia="仿宋" w:cs="宋体"/>
          <w:sz w:val="28"/>
          <w:szCs w:val="28"/>
          <w:lang w:val="en-US" w:eastAsia="zh-CN"/>
        </w:rPr>
      </w:pPr>
      <w:r>
        <w:rPr>
          <w:rFonts w:hint="eastAsia" w:ascii="仿宋" w:hAnsi="仿宋" w:eastAsia="仿宋"/>
          <w:color w:val="FF0000"/>
          <w:sz w:val="24"/>
          <w:szCs w:val="24"/>
        </w:rPr>
        <w:t>★</w:t>
      </w:r>
      <w:r>
        <w:rPr>
          <w:rFonts w:hint="eastAsia" w:ascii="仿宋" w:hAnsi="仿宋" w:eastAsia="仿宋" w:cs="宋体"/>
          <w:sz w:val="28"/>
          <w:szCs w:val="28"/>
          <w:lang w:val="en-US" w:eastAsia="zh-CN"/>
        </w:rPr>
        <w:t>2.投标人</w:t>
      </w:r>
      <w:r>
        <w:rPr>
          <w:rFonts w:hint="eastAsia" w:ascii="仿宋" w:hAnsi="仿宋" w:eastAsia="仿宋" w:cs="宋体"/>
          <w:sz w:val="28"/>
          <w:szCs w:val="28"/>
        </w:rPr>
        <w:t>负责</w:t>
      </w:r>
      <w:r>
        <w:rPr>
          <w:rFonts w:hint="eastAsia" w:ascii="仿宋" w:hAnsi="仿宋" w:eastAsia="仿宋" w:cs="宋体"/>
          <w:sz w:val="28"/>
          <w:szCs w:val="28"/>
          <w:lang w:val="en-US" w:eastAsia="zh-CN"/>
        </w:rPr>
        <w:t>方舱实验室的日常运营和管理，按要求完成仪器设备定期校准与维护，试剂性能验证。并接受采购人对方舱实验室生物安全、检验质量、医废处理等监督。</w:t>
      </w:r>
    </w:p>
    <w:p>
      <w:pPr>
        <w:pStyle w:val="9"/>
        <w:numPr>
          <w:ilvl w:val="0"/>
          <w:numId w:val="0"/>
        </w:numPr>
        <w:spacing w:line="360" w:lineRule="auto"/>
        <w:ind w:leftChars="0"/>
        <w:jc w:val="left"/>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3.投标人</w:t>
      </w:r>
      <w:r>
        <w:rPr>
          <w:rFonts w:hint="eastAsia" w:ascii="仿宋" w:hAnsi="仿宋" w:eastAsia="仿宋"/>
          <w:sz w:val="28"/>
          <w:szCs w:val="28"/>
          <w:lang w:val="en-US" w:eastAsia="zh-CN"/>
        </w:rPr>
        <w:t>须安排</w:t>
      </w:r>
      <w:r>
        <w:rPr>
          <w:rFonts w:hint="eastAsia" w:ascii="仿宋" w:hAnsi="仿宋" w:eastAsia="仿宋" w:cs="宋体"/>
          <w:sz w:val="28"/>
          <w:szCs w:val="28"/>
        </w:rPr>
        <w:t>至少</w:t>
      </w:r>
      <w:r>
        <w:rPr>
          <w:rFonts w:hint="eastAsia" w:ascii="仿宋" w:hAnsi="仿宋" w:eastAsia="仿宋" w:cs="宋体"/>
          <w:sz w:val="28"/>
          <w:szCs w:val="28"/>
          <w:lang w:val="en-US" w:eastAsia="zh-CN"/>
        </w:rPr>
        <w:t>11名技术人员入驻方舱实验室</w:t>
      </w:r>
      <w:r>
        <w:rPr>
          <w:rFonts w:hint="eastAsia" w:ascii="仿宋" w:hAnsi="仿宋" w:eastAsia="仿宋" w:cs="宋体"/>
          <w:sz w:val="28"/>
          <w:szCs w:val="28"/>
        </w:rPr>
        <w:t>，其中</w:t>
      </w:r>
      <w:r>
        <w:rPr>
          <w:rFonts w:hint="eastAsia" w:ascii="仿宋" w:hAnsi="仿宋" w:eastAsia="仿宋" w:cs="宋体"/>
          <w:sz w:val="28"/>
          <w:szCs w:val="28"/>
          <w:lang w:val="en-US" w:eastAsia="zh-CN"/>
        </w:rPr>
        <w:t>至少6</w:t>
      </w:r>
      <w:r>
        <w:rPr>
          <w:rFonts w:hint="eastAsia" w:ascii="仿宋" w:hAnsi="仿宋" w:eastAsia="仿宋" w:cs="宋体"/>
          <w:sz w:val="28"/>
          <w:szCs w:val="28"/>
        </w:rPr>
        <w:t>名</w:t>
      </w:r>
      <w:r>
        <w:rPr>
          <w:rFonts w:hint="eastAsia" w:ascii="仿宋" w:hAnsi="仿宋" w:eastAsia="仿宋" w:cs="宋体"/>
          <w:sz w:val="28"/>
          <w:szCs w:val="28"/>
          <w:lang w:val="en-US" w:eastAsia="zh-CN"/>
        </w:rPr>
        <w:t>技术人员需具备“临床检验资格证”和</w:t>
      </w:r>
      <w:r>
        <w:rPr>
          <w:rFonts w:hint="eastAsia" w:ascii="仿宋" w:hAnsi="仿宋" w:eastAsia="仿宋" w:cs="宋体"/>
          <w:sz w:val="28"/>
          <w:szCs w:val="28"/>
        </w:rPr>
        <w:t>“PCR上岗证”</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其余人员需具备</w:t>
      </w:r>
      <w:r>
        <w:rPr>
          <w:rFonts w:hint="eastAsia" w:ascii="仿宋" w:hAnsi="仿宋" w:eastAsia="仿宋" w:cs="宋体"/>
          <w:sz w:val="28"/>
          <w:szCs w:val="28"/>
        </w:rPr>
        <w:t>“PCR上岗证”。（提供</w:t>
      </w:r>
      <w:r>
        <w:rPr>
          <w:rFonts w:hint="eastAsia" w:ascii="仿宋" w:hAnsi="仿宋" w:eastAsia="仿宋" w:cs="宋体"/>
          <w:sz w:val="28"/>
          <w:szCs w:val="28"/>
          <w:lang w:val="en-US" w:eastAsia="zh-CN"/>
        </w:rPr>
        <w:t>技术</w:t>
      </w:r>
      <w:r>
        <w:rPr>
          <w:rFonts w:hint="eastAsia" w:ascii="仿宋" w:hAnsi="仿宋" w:eastAsia="仿宋" w:cs="宋体"/>
          <w:sz w:val="28"/>
          <w:szCs w:val="28"/>
        </w:rPr>
        <w:t>人员一览表、人员资格证复印件、2021年社保证明）。</w:t>
      </w:r>
    </w:p>
    <w:p>
      <w:pPr>
        <w:pStyle w:val="9"/>
        <w:numPr>
          <w:ilvl w:val="0"/>
          <w:numId w:val="0"/>
        </w:numPr>
        <w:spacing w:line="360" w:lineRule="auto"/>
        <w:ind w:leftChars="0"/>
        <w:jc w:val="left"/>
        <w:rPr>
          <w:rFonts w:ascii="仿宋" w:hAnsi="仿宋" w:eastAsia="仿宋" w:cs="宋体"/>
          <w:sz w:val="28"/>
          <w:szCs w:val="28"/>
        </w:rPr>
      </w:pPr>
      <w:r>
        <w:rPr>
          <w:rFonts w:hint="eastAsia" w:ascii="仿宋" w:hAnsi="仿宋" w:eastAsia="仿宋"/>
          <w:sz w:val="28"/>
          <w:szCs w:val="28"/>
          <w:lang w:val="en-US" w:eastAsia="zh-CN"/>
        </w:rPr>
        <w:t>4.</w:t>
      </w:r>
      <w:r>
        <w:rPr>
          <w:rFonts w:hint="eastAsia" w:ascii="仿宋" w:hAnsi="仿宋" w:eastAsia="仿宋"/>
          <w:sz w:val="28"/>
          <w:szCs w:val="28"/>
        </w:rPr>
        <w:t>新冠核酸检测业务</w:t>
      </w:r>
      <w:r>
        <w:rPr>
          <w:rFonts w:hint="eastAsia" w:ascii="仿宋" w:hAnsi="仿宋" w:eastAsia="仿宋" w:cs="宋体"/>
          <w:sz w:val="28"/>
          <w:szCs w:val="28"/>
        </w:rPr>
        <w:t>技术人员采用三班制</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每班至少安排2人上岗</w:t>
      </w:r>
      <w:r>
        <w:rPr>
          <w:rFonts w:hint="eastAsia" w:ascii="仿宋" w:hAnsi="仿宋" w:eastAsia="仿宋" w:cs="宋体"/>
          <w:sz w:val="28"/>
          <w:szCs w:val="28"/>
        </w:rPr>
        <w:t>。</w:t>
      </w:r>
    </w:p>
    <w:p>
      <w:pPr>
        <w:pStyle w:val="9"/>
        <w:numPr>
          <w:ilvl w:val="0"/>
          <w:numId w:val="0"/>
        </w:numPr>
        <w:spacing w:line="360" w:lineRule="auto"/>
        <w:ind w:leftChars="0"/>
        <w:jc w:val="left"/>
        <w:rPr>
          <w:rFonts w:hint="eastAsia" w:ascii="仿宋" w:hAnsi="仿宋" w:eastAsia="仿宋" w:cs="宋体"/>
          <w:sz w:val="28"/>
          <w:szCs w:val="28"/>
        </w:rPr>
      </w:pPr>
      <w:r>
        <w:rPr>
          <w:rFonts w:ascii="宋体" w:hAnsi="宋体" w:eastAsia="宋体" w:cs="Times New Roman"/>
          <w:color w:val="000000" w:themeColor="text1"/>
          <w:sz w:val="24"/>
          <w:szCs w:val="24"/>
          <w14:textFill>
            <w14:solidFill>
              <w14:schemeClr w14:val="tx1"/>
            </w14:solidFill>
          </w14:textFill>
        </w:rPr>
        <w:t>▲</w:t>
      </w:r>
      <w:r>
        <w:rPr>
          <w:rFonts w:hint="eastAsia" w:ascii="仿宋" w:hAnsi="仿宋" w:eastAsia="仿宋" w:cs="宋体"/>
          <w:sz w:val="28"/>
          <w:szCs w:val="28"/>
          <w:lang w:val="en-US" w:eastAsia="zh-CN"/>
        </w:rPr>
        <w:t>5.投标人</w:t>
      </w:r>
      <w:r>
        <w:rPr>
          <w:rFonts w:hint="eastAsia" w:ascii="仿宋" w:hAnsi="仿宋" w:eastAsia="仿宋" w:cs="宋体"/>
          <w:sz w:val="28"/>
          <w:szCs w:val="28"/>
        </w:rPr>
        <w:t>安排的报告签发人员需要“临床检验资格证”和“PCR上岗证”；</w:t>
      </w:r>
      <w:r>
        <w:rPr>
          <w:rFonts w:hint="eastAsia" w:ascii="仿宋" w:hAnsi="仿宋" w:eastAsia="仿宋"/>
          <w:sz w:val="28"/>
          <w:szCs w:val="28"/>
        </w:rPr>
        <w:t>新冠核酸检测业务</w:t>
      </w:r>
      <w:r>
        <w:rPr>
          <w:rFonts w:hint="eastAsia" w:ascii="仿宋" w:hAnsi="仿宋" w:eastAsia="仿宋" w:cs="宋体"/>
          <w:sz w:val="28"/>
          <w:szCs w:val="28"/>
        </w:rPr>
        <w:t>每班次至少1人同时持有“临床检验资格证”和“PCR上岗证”；</w:t>
      </w:r>
    </w:p>
    <w:p>
      <w:pPr>
        <w:pStyle w:val="9"/>
        <w:numPr>
          <w:ilvl w:val="0"/>
          <w:numId w:val="0"/>
        </w:numPr>
        <w:spacing w:line="360" w:lineRule="auto"/>
        <w:ind w:leftChars="0"/>
        <w:jc w:val="left"/>
        <w:rPr>
          <w:rFonts w:ascii="仿宋" w:hAnsi="仿宋" w:eastAsia="仿宋" w:cs="宋体"/>
          <w:sz w:val="28"/>
          <w:szCs w:val="28"/>
        </w:rPr>
      </w:pPr>
      <w:r>
        <w:rPr>
          <w:rFonts w:hint="eastAsia" w:ascii="仿宋" w:hAnsi="仿宋" w:eastAsia="仿宋" w:cs="宋体"/>
          <w:sz w:val="28"/>
          <w:szCs w:val="28"/>
          <w:lang w:val="en-US" w:eastAsia="zh-CN"/>
        </w:rPr>
        <w:t>6.</w:t>
      </w:r>
      <w:r>
        <w:rPr>
          <w:rFonts w:hint="eastAsia" w:ascii="仿宋" w:hAnsi="仿宋" w:eastAsia="仿宋" w:cs="宋体"/>
          <w:sz w:val="28"/>
          <w:szCs w:val="28"/>
        </w:rPr>
        <w:t>检测时间与上机次数安排：</w:t>
      </w:r>
    </w:p>
    <w:p>
      <w:pPr>
        <w:pStyle w:val="9"/>
        <w:spacing w:line="360" w:lineRule="auto"/>
        <w:ind w:left="420" w:firstLine="0" w:firstLineChars="0"/>
        <w:jc w:val="left"/>
        <w:rPr>
          <w:rFonts w:ascii="仿宋" w:hAnsi="仿宋" w:eastAsia="仿宋" w:cs="宋体"/>
          <w:sz w:val="28"/>
          <w:szCs w:val="28"/>
        </w:rPr>
      </w:pPr>
      <w:r>
        <w:rPr>
          <w:rFonts w:hint="eastAsia" w:ascii="仿宋" w:hAnsi="仿宋" w:eastAsia="仿宋" w:cs="宋体"/>
          <w:sz w:val="28"/>
          <w:szCs w:val="28"/>
        </w:rPr>
        <w:t>1）根据标本进入实验室时间，提前进行前工序准备。</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2）根据标本数量及时上机，确保标本进入实验室4小时内完成；另外，要根据上级部门对疫情防控规定，及时调整并保障不同类型标本结果报告时限要求，检测并出具报告。</w:t>
      </w:r>
    </w:p>
    <w:p>
      <w:pPr>
        <w:pStyle w:val="9"/>
        <w:numPr>
          <w:ilvl w:val="0"/>
          <w:numId w:val="0"/>
        </w:numPr>
        <w:spacing w:line="360" w:lineRule="auto"/>
        <w:ind w:leftChars="0"/>
        <w:jc w:val="left"/>
        <w:rPr>
          <w:rFonts w:ascii="仿宋" w:hAnsi="仿宋" w:eastAsia="仿宋" w:cs="宋体"/>
          <w:sz w:val="28"/>
          <w:szCs w:val="28"/>
        </w:rPr>
      </w:pPr>
      <w:r>
        <w:rPr>
          <w:rFonts w:hint="eastAsia" w:ascii="仿宋" w:hAnsi="仿宋" w:eastAsia="仿宋" w:cs="宋体"/>
          <w:sz w:val="28"/>
          <w:szCs w:val="28"/>
          <w:lang w:val="en-US" w:eastAsia="zh-CN"/>
        </w:rPr>
        <w:t>7.投标人在中标合同签订后1周内完成</w:t>
      </w:r>
      <w:r>
        <w:rPr>
          <w:rFonts w:hint="eastAsia" w:ascii="仿宋" w:hAnsi="仿宋" w:eastAsia="仿宋" w:cs="宋体"/>
          <w:sz w:val="28"/>
          <w:szCs w:val="28"/>
        </w:rPr>
        <w:t>采购人信息系统与</w:t>
      </w:r>
      <w:r>
        <w:rPr>
          <w:rFonts w:hint="eastAsia" w:ascii="仿宋" w:hAnsi="仿宋" w:eastAsia="仿宋" w:cs="宋体"/>
          <w:sz w:val="28"/>
          <w:szCs w:val="28"/>
          <w:lang w:val="en-US" w:eastAsia="zh-CN"/>
        </w:rPr>
        <w:t>投标人</w:t>
      </w:r>
      <w:r>
        <w:rPr>
          <w:rFonts w:hint="eastAsia" w:ascii="仿宋" w:hAnsi="仿宋" w:eastAsia="仿宋" w:cs="宋体"/>
          <w:sz w:val="28"/>
          <w:szCs w:val="28"/>
        </w:rPr>
        <w:t>信息系统对接标准化</w:t>
      </w:r>
      <w:r>
        <w:rPr>
          <w:rFonts w:hint="eastAsia" w:ascii="仿宋" w:hAnsi="仿宋" w:eastAsia="仿宋" w:cs="宋体"/>
          <w:sz w:val="28"/>
          <w:szCs w:val="28"/>
          <w:lang w:eastAsia="zh-CN"/>
        </w:rPr>
        <w:t>，</w:t>
      </w:r>
      <w:r>
        <w:rPr>
          <w:rFonts w:hint="eastAsia" w:ascii="仿宋" w:hAnsi="仿宋" w:eastAsia="仿宋" w:cs="宋体"/>
          <w:sz w:val="28"/>
          <w:szCs w:val="28"/>
        </w:rPr>
        <w:t>接口费用</w:t>
      </w:r>
      <w:r>
        <w:rPr>
          <w:rFonts w:hint="eastAsia" w:ascii="仿宋" w:hAnsi="仿宋" w:eastAsia="仿宋" w:cs="宋体"/>
          <w:sz w:val="28"/>
          <w:szCs w:val="28"/>
          <w:lang w:val="en-US" w:eastAsia="zh-CN"/>
        </w:rPr>
        <w:t>由投标人负责</w:t>
      </w:r>
      <w:r>
        <w:rPr>
          <w:rFonts w:hint="eastAsia" w:ascii="仿宋" w:hAnsi="仿宋" w:eastAsia="仿宋" w:cs="宋体"/>
          <w:sz w:val="28"/>
          <w:szCs w:val="28"/>
        </w:rPr>
        <w:t>。</w:t>
      </w:r>
    </w:p>
    <w:p>
      <w:pPr>
        <w:pStyle w:val="9"/>
        <w:numPr>
          <w:ilvl w:val="0"/>
          <w:numId w:val="0"/>
        </w:numPr>
        <w:spacing w:line="360" w:lineRule="auto"/>
        <w:ind w:leftChars="0"/>
        <w:jc w:val="left"/>
        <w:rPr>
          <w:rFonts w:ascii="仿宋" w:hAnsi="仿宋" w:eastAsia="仿宋" w:cs="宋体"/>
          <w:sz w:val="28"/>
          <w:szCs w:val="28"/>
        </w:rPr>
      </w:pPr>
      <w:r>
        <w:rPr>
          <w:rFonts w:hint="eastAsia" w:ascii="仿宋" w:hAnsi="仿宋" w:eastAsia="仿宋" w:cs="宋体"/>
          <w:sz w:val="28"/>
          <w:szCs w:val="28"/>
          <w:lang w:val="en-US" w:eastAsia="zh-CN"/>
        </w:rPr>
        <w:t>8.投标人</w:t>
      </w:r>
      <w:r>
        <w:rPr>
          <w:rFonts w:hint="eastAsia" w:ascii="仿宋" w:hAnsi="仿宋" w:eastAsia="仿宋" w:cs="宋体"/>
          <w:sz w:val="28"/>
          <w:szCs w:val="28"/>
        </w:rPr>
        <w:t>负责提供</w:t>
      </w:r>
      <w:r>
        <w:rPr>
          <w:rFonts w:hint="eastAsia" w:ascii="仿宋" w:hAnsi="仿宋" w:eastAsia="仿宋" w:cs="宋体"/>
          <w:sz w:val="28"/>
          <w:szCs w:val="28"/>
          <w:lang w:val="en-US" w:eastAsia="zh-CN"/>
        </w:rPr>
        <w:t>完成委托检验项目</w:t>
      </w:r>
      <w:r>
        <w:rPr>
          <w:rFonts w:hint="eastAsia" w:ascii="仿宋" w:hAnsi="仿宋" w:eastAsia="仿宋" w:cs="宋体"/>
          <w:sz w:val="28"/>
          <w:szCs w:val="28"/>
        </w:rPr>
        <w:t>需要的试剂耗材</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包括采样试剂与耗材、检测试剂与耗材、实验室运营所需耗材</w:t>
      </w:r>
      <w:r>
        <w:rPr>
          <w:rFonts w:hint="eastAsia" w:ascii="仿宋" w:hAnsi="仿宋" w:eastAsia="仿宋" w:cs="宋体"/>
          <w:sz w:val="28"/>
          <w:szCs w:val="28"/>
          <w:lang w:eastAsia="zh-CN"/>
        </w:rPr>
        <w:t>）</w:t>
      </w:r>
      <w:r>
        <w:rPr>
          <w:rFonts w:hint="eastAsia" w:ascii="仿宋" w:hAnsi="仿宋" w:eastAsia="仿宋" w:cs="宋体"/>
          <w:sz w:val="28"/>
          <w:szCs w:val="28"/>
        </w:rPr>
        <w:t>和防护物资，以及新冠核酸检测业务技术平台的更新引进和技术培训。</w:t>
      </w:r>
      <w:r>
        <w:rPr>
          <w:rFonts w:hint="eastAsia" w:ascii="仿宋" w:hAnsi="仿宋" w:eastAsia="仿宋" w:cs="宋体"/>
          <w:sz w:val="28"/>
          <w:szCs w:val="28"/>
          <w:lang w:val="en-US" w:eastAsia="zh-CN"/>
        </w:rPr>
        <w:t>投标人</w:t>
      </w:r>
      <w:r>
        <w:rPr>
          <w:rFonts w:hint="eastAsia" w:ascii="仿宋" w:hAnsi="仿宋" w:eastAsia="仿宋" w:cs="宋体"/>
          <w:sz w:val="28"/>
          <w:szCs w:val="28"/>
        </w:rPr>
        <w:t>所提供的试剂耗材应符合国家及卫生部门对新冠核酸检测的相关规定。</w:t>
      </w:r>
    </w:p>
    <w:p>
      <w:pPr>
        <w:pStyle w:val="9"/>
        <w:numPr>
          <w:ilvl w:val="0"/>
          <w:numId w:val="0"/>
        </w:numPr>
        <w:spacing w:line="360" w:lineRule="auto"/>
        <w:ind w:leftChars="0"/>
        <w:jc w:val="left"/>
        <w:rPr>
          <w:rFonts w:ascii="仿宋" w:hAnsi="仿宋" w:eastAsia="仿宋" w:cs="宋体"/>
          <w:sz w:val="28"/>
          <w:szCs w:val="28"/>
        </w:rPr>
      </w:pPr>
      <w:r>
        <w:rPr>
          <w:rFonts w:hint="eastAsia" w:ascii="仿宋" w:hAnsi="仿宋" w:eastAsia="仿宋" w:cs="宋体"/>
          <w:sz w:val="28"/>
          <w:szCs w:val="28"/>
          <w:lang w:val="en-US" w:eastAsia="zh-CN"/>
        </w:rPr>
        <w:t>9.投标人</w:t>
      </w:r>
      <w:r>
        <w:rPr>
          <w:rFonts w:hint="eastAsia" w:ascii="仿宋" w:hAnsi="仿宋" w:eastAsia="仿宋" w:cs="宋体"/>
          <w:sz w:val="28"/>
          <w:szCs w:val="28"/>
        </w:rPr>
        <w:t>负责新冠核酸检测业务实验室检测全流程技术方案及防护方案提供。包括检测操作规范（SOP）培训、生物安全培训、实验人员技术培训、质控指导、实验室流程优化及产能提升指导等。</w:t>
      </w:r>
    </w:p>
    <w:p>
      <w:pPr>
        <w:pStyle w:val="9"/>
        <w:numPr>
          <w:ilvl w:val="0"/>
          <w:numId w:val="0"/>
        </w:numPr>
        <w:spacing w:line="360" w:lineRule="auto"/>
        <w:ind w:leftChars="0"/>
        <w:jc w:val="left"/>
        <w:rPr>
          <w:rFonts w:ascii="仿宋" w:hAnsi="仿宋" w:eastAsia="仿宋" w:cs="宋体"/>
          <w:sz w:val="28"/>
          <w:szCs w:val="28"/>
        </w:rPr>
      </w:pPr>
      <w:r>
        <w:rPr>
          <w:rFonts w:hint="eastAsia" w:ascii="仿宋" w:hAnsi="仿宋" w:eastAsia="仿宋" w:cs="宋体"/>
          <w:sz w:val="28"/>
          <w:szCs w:val="28"/>
          <w:lang w:val="en-US" w:eastAsia="zh-CN"/>
        </w:rPr>
        <w:t>10.投标人</w:t>
      </w:r>
      <w:r>
        <w:rPr>
          <w:rFonts w:hint="eastAsia" w:ascii="仿宋" w:hAnsi="仿宋" w:eastAsia="仿宋" w:cs="宋体"/>
          <w:sz w:val="28"/>
          <w:szCs w:val="28"/>
        </w:rPr>
        <w:t>为采购人技术人员提供培训和进修支持、新冠核酸检测业务实验室认证技术指导服务。</w:t>
      </w:r>
    </w:p>
    <w:p>
      <w:pPr>
        <w:pStyle w:val="9"/>
        <w:numPr>
          <w:ilvl w:val="0"/>
          <w:numId w:val="0"/>
        </w:numPr>
        <w:spacing w:line="360" w:lineRule="auto"/>
        <w:ind w:leftChars="0"/>
        <w:jc w:val="left"/>
        <w:rPr>
          <w:rFonts w:ascii="仿宋" w:hAnsi="仿宋" w:eastAsia="仿宋" w:cs="宋体"/>
          <w:sz w:val="28"/>
          <w:szCs w:val="28"/>
        </w:rPr>
      </w:pPr>
      <w:r>
        <w:rPr>
          <w:rFonts w:hint="eastAsia" w:ascii="仿宋" w:hAnsi="仿宋" w:eastAsia="仿宋" w:cs="宋体"/>
          <w:sz w:val="28"/>
          <w:szCs w:val="28"/>
          <w:lang w:val="en-US" w:eastAsia="zh-CN"/>
        </w:rPr>
        <w:t>11.投标人</w:t>
      </w:r>
      <w:r>
        <w:rPr>
          <w:rFonts w:hint="eastAsia" w:ascii="仿宋" w:hAnsi="仿宋" w:eastAsia="仿宋" w:cs="宋体"/>
          <w:sz w:val="28"/>
          <w:szCs w:val="28"/>
        </w:rPr>
        <w:t>协助合作技术平台建立新冠核酸检测标准SOP及质量控制体系，为采购人提供技术指导服务。</w:t>
      </w:r>
    </w:p>
    <w:p>
      <w:pPr>
        <w:pStyle w:val="9"/>
        <w:numPr>
          <w:ilvl w:val="0"/>
          <w:numId w:val="0"/>
        </w:numPr>
        <w:spacing w:line="360" w:lineRule="auto"/>
        <w:ind w:leftChars="0"/>
        <w:rPr>
          <w:rFonts w:ascii="仿宋" w:hAnsi="仿宋" w:eastAsia="仿宋" w:cs="宋体"/>
          <w:sz w:val="28"/>
          <w:szCs w:val="28"/>
        </w:rPr>
      </w:pPr>
      <w:r>
        <w:rPr>
          <w:rFonts w:hint="eastAsia" w:ascii="仿宋" w:hAnsi="仿宋" w:eastAsia="仿宋" w:cs="宋体"/>
          <w:sz w:val="28"/>
          <w:szCs w:val="28"/>
          <w:lang w:val="en-US" w:eastAsia="zh-CN"/>
        </w:rPr>
        <w:t>12.投标人</w:t>
      </w:r>
      <w:r>
        <w:rPr>
          <w:rFonts w:hint="eastAsia" w:ascii="仿宋" w:hAnsi="仿宋" w:eastAsia="仿宋" w:cs="宋体"/>
          <w:sz w:val="28"/>
          <w:szCs w:val="28"/>
        </w:rPr>
        <w:t>负责利用自主产权的IT工具完成采购人信息系统与响应供应商信息系统对接，实现检验数据的交互，实现电子检验申请单、检验报告单的远程打印和发布。</w:t>
      </w:r>
    </w:p>
    <w:p>
      <w:pPr>
        <w:pStyle w:val="9"/>
        <w:numPr>
          <w:ilvl w:val="0"/>
          <w:numId w:val="0"/>
        </w:numPr>
        <w:spacing w:line="360" w:lineRule="auto"/>
        <w:ind w:leftChars="0"/>
        <w:jc w:val="left"/>
        <w:rPr>
          <w:rFonts w:ascii="仿宋" w:hAnsi="仿宋" w:eastAsia="仿宋"/>
          <w:sz w:val="28"/>
          <w:szCs w:val="28"/>
        </w:rPr>
      </w:pPr>
      <w:r>
        <w:rPr>
          <w:rFonts w:hint="eastAsia" w:ascii="仿宋" w:hAnsi="仿宋" w:eastAsia="仿宋"/>
          <w:sz w:val="28"/>
          <w:szCs w:val="28"/>
          <w:lang w:val="en-US" w:eastAsia="zh-CN"/>
        </w:rPr>
        <w:t>13.投标人</w:t>
      </w:r>
      <w:r>
        <w:rPr>
          <w:rFonts w:hint="eastAsia" w:ascii="仿宋" w:hAnsi="仿宋" w:eastAsia="仿宋"/>
          <w:sz w:val="28"/>
          <w:szCs w:val="28"/>
        </w:rPr>
        <w:t>不定期派专家到采购人进行科室能力建设指导和协助，并可根据医院实际情况安排驻点</w:t>
      </w:r>
      <w:r>
        <w:rPr>
          <w:rFonts w:hint="eastAsia" w:ascii="仿宋" w:hAnsi="仿宋" w:eastAsia="仿宋"/>
          <w:sz w:val="28"/>
          <w:szCs w:val="28"/>
          <w:lang w:val="en-US" w:eastAsia="zh-CN"/>
        </w:rPr>
        <w:t>专家</w:t>
      </w:r>
      <w:r>
        <w:rPr>
          <w:rFonts w:hint="eastAsia" w:ascii="仿宋" w:hAnsi="仿宋" w:eastAsia="仿宋"/>
          <w:sz w:val="28"/>
          <w:szCs w:val="28"/>
        </w:rPr>
        <w:t>。</w:t>
      </w:r>
    </w:p>
    <w:p>
      <w:pPr>
        <w:pStyle w:val="9"/>
        <w:numPr>
          <w:ilvl w:val="0"/>
          <w:numId w:val="0"/>
        </w:numPr>
        <w:adjustRightInd w:val="0"/>
        <w:snapToGrid w:val="0"/>
        <w:spacing w:line="360" w:lineRule="auto"/>
        <w:ind w:leftChars="0"/>
        <w:jc w:val="left"/>
        <w:rPr>
          <w:rFonts w:ascii="仿宋" w:hAnsi="仿宋" w:eastAsia="仿宋"/>
          <w:sz w:val="28"/>
          <w:szCs w:val="28"/>
        </w:rPr>
      </w:pPr>
      <w:r>
        <w:rPr>
          <w:rFonts w:hint="eastAsia" w:ascii="仿宋" w:hAnsi="仿宋" w:eastAsia="仿宋"/>
          <w:sz w:val="28"/>
          <w:szCs w:val="28"/>
          <w:lang w:val="en-US" w:eastAsia="zh-CN"/>
        </w:rPr>
        <w:t>14.</w:t>
      </w:r>
      <w:r>
        <w:rPr>
          <w:rFonts w:hint="eastAsia" w:ascii="仿宋" w:hAnsi="仿宋" w:eastAsia="仿宋"/>
          <w:sz w:val="28"/>
          <w:szCs w:val="28"/>
        </w:rPr>
        <w:t>为保证实验室日常工作开展，依据具体情况，</w:t>
      </w:r>
      <w:r>
        <w:rPr>
          <w:rFonts w:hint="eastAsia" w:ascii="仿宋" w:hAnsi="仿宋" w:eastAsia="仿宋" w:cs="宋体"/>
          <w:sz w:val="28"/>
          <w:szCs w:val="28"/>
          <w:lang w:val="en-US" w:eastAsia="zh-CN"/>
        </w:rPr>
        <w:t>投标人</w:t>
      </w:r>
      <w:r>
        <w:rPr>
          <w:rFonts w:hint="eastAsia" w:ascii="仿宋" w:hAnsi="仿宋" w:eastAsia="仿宋"/>
          <w:sz w:val="28"/>
          <w:szCs w:val="28"/>
        </w:rPr>
        <w:t>可协助医院配备核酸检测相关设备，包括但不限于核酸提取仪，荧光定量</w:t>
      </w:r>
      <w:r>
        <w:rPr>
          <w:rFonts w:hint="eastAsia" w:ascii="仿宋" w:hAnsi="仿宋" w:eastAsia="仿宋"/>
          <w:sz w:val="28"/>
          <w:szCs w:val="28"/>
          <w:lang w:val="en-US" w:eastAsia="zh-CN"/>
        </w:rPr>
        <w:t>PCR</w:t>
      </w:r>
      <w:r>
        <w:rPr>
          <w:rFonts w:hint="eastAsia" w:ascii="仿宋" w:hAnsi="仿宋" w:eastAsia="仿宋"/>
          <w:sz w:val="28"/>
          <w:szCs w:val="28"/>
        </w:rPr>
        <w:t>仪等，并配套试剂，增加设备所有权归属</w:t>
      </w:r>
      <w:r>
        <w:rPr>
          <w:rFonts w:hint="eastAsia" w:ascii="仿宋" w:hAnsi="仿宋" w:eastAsia="仿宋" w:cs="宋体"/>
          <w:sz w:val="28"/>
          <w:szCs w:val="28"/>
          <w:lang w:val="en-US" w:eastAsia="zh-CN"/>
        </w:rPr>
        <w:t>投标人</w:t>
      </w:r>
      <w:r>
        <w:rPr>
          <w:rFonts w:hint="eastAsia" w:ascii="仿宋" w:hAnsi="仿宋" w:eastAsia="仿宋"/>
          <w:sz w:val="28"/>
          <w:szCs w:val="28"/>
        </w:rPr>
        <w:t>，</w:t>
      </w:r>
      <w:r>
        <w:rPr>
          <w:rFonts w:hint="eastAsia" w:ascii="仿宋" w:hAnsi="仿宋" w:eastAsia="仿宋" w:cs="宋体"/>
          <w:sz w:val="28"/>
          <w:szCs w:val="28"/>
          <w:lang w:val="en-US" w:eastAsia="zh-CN"/>
        </w:rPr>
        <w:t>投标人</w:t>
      </w:r>
      <w:r>
        <w:rPr>
          <w:rFonts w:hint="eastAsia" w:ascii="仿宋" w:hAnsi="仿宋" w:eastAsia="仿宋"/>
          <w:sz w:val="28"/>
          <w:szCs w:val="28"/>
        </w:rPr>
        <w:t>负责日常维保，</w:t>
      </w:r>
      <w:r>
        <w:rPr>
          <w:rFonts w:hint="eastAsia" w:ascii="仿宋" w:hAnsi="仿宋" w:eastAsia="仿宋"/>
          <w:sz w:val="28"/>
          <w:szCs w:val="28"/>
          <w:lang w:val="en-US" w:eastAsia="zh-CN"/>
        </w:rPr>
        <w:t>合同</w:t>
      </w:r>
      <w:r>
        <w:rPr>
          <w:rFonts w:hint="eastAsia" w:ascii="仿宋" w:hAnsi="仿宋" w:eastAsia="仿宋"/>
          <w:sz w:val="28"/>
          <w:szCs w:val="28"/>
        </w:rPr>
        <w:t>到期后设备由</w:t>
      </w:r>
      <w:r>
        <w:rPr>
          <w:rFonts w:hint="eastAsia" w:ascii="仿宋" w:hAnsi="仿宋" w:eastAsia="仿宋" w:cs="宋体"/>
          <w:sz w:val="28"/>
          <w:szCs w:val="28"/>
          <w:lang w:val="en-US" w:eastAsia="zh-CN"/>
        </w:rPr>
        <w:t>投标人</w:t>
      </w:r>
      <w:r>
        <w:rPr>
          <w:rFonts w:hint="eastAsia" w:ascii="仿宋" w:hAnsi="仿宋" w:eastAsia="仿宋"/>
          <w:sz w:val="28"/>
          <w:szCs w:val="28"/>
        </w:rPr>
        <w:t>收回。</w:t>
      </w:r>
    </w:p>
    <w:p>
      <w:pPr>
        <w:pStyle w:val="9"/>
        <w:numPr>
          <w:ilvl w:val="0"/>
          <w:numId w:val="0"/>
        </w:numPr>
        <w:spacing w:line="360" w:lineRule="auto"/>
        <w:ind w:leftChars="0"/>
        <w:jc w:val="left"/>
        <w:rPr>
          <w:rFonts w:ascii="仿宋" w:hAnsi="仿宋" w:eastAsia="仿宋"/>
          <w:sz w:val="28"/>
          <w:szCs w:val="28"/>
        </w:rPr>
      </w:pPr>
      <w:r>
        <w:rPr>
          <w:rFonts w:hint="eastAsia" w:ascii="仿宋" w:hAnsi="仿宋" w:eastAsia="仿宋" w:cs="宋体"/>
          <w:sz w:val="28"/>
          <w:szCs w:val="28"/>
          <w:lang w:val="en-US" w:eastAsia="zh-CN"/>
        </w:rPr>
        <w:t>15.</w:t>
      </w:r>
      <w:r>
        <w:rPr>
          <w:rFonts w:hint="eastAsia" w:ascii="仿宋" w:hAnsi="仿宋" w:eastAsia="仿宋" w:cs="宋体"/>
          <w:sz w:val="28"/>
          <w:szCs w:val="28"/>
        </w:rPr>
        <w:t>如出现紧急情况，</w:t>
      </w:r>
      <w:r>
        <w:rPr>
          <w:rFonts w:hint="eastAsia" w:ascii="仿宋" w:hAnsi="仿宋" w:eastAsia="仿宋" w:cs="宋体"/>
          <w:sz w:val="28"/>
          <w:szCs w:val="28"/>
          <w:lang w:val="en-US" w:eastAsia="zh-CN"/>
        </w:rPr>
        <w:t>投标人需在12小时内增加仪器设备和检验人员，</w:t>
      </w:r>
      <w:r>
        <w:rPr>
          <w:rFonts w:hint="eastAsia" w:ascii="仿宋" w:hAnsi="仿宋" w:eastAsia="仿宋" w:cs="宋体"/>
          <w:sz w:val="28"/>
          <w:szCs w:val="28"/>
        </w:rPr>
        <w:t>将</w:t>
      </w:r>
      <w:r>
        <w:rPr>
          <w:rFonts w:hint="eastAsia" w:ascii="仿宋" w:hAnsi="仿宋" w:eastAsia="仿宋" w:cs="宋体"/>
          <w:sz w:val="28"/>
          <w:szCs w:val="28"/>
          <w:lang w:val="en-US" w:eastAsia="zh-CN"/>
        </w:rPr>
        <w:t>方舱</w:t>
      </w:r>
      <w:r>
        <w:rPr>
          <w:rFonts w:hint="eastAsia" w:ascii="仿宋" w:hAnsi="仿宋" w:eastAsia="仿宋" w:cs="宋体"/>
          <w:sz w:val="28"/>
          <w:szCs w:val="28"/>
        </w:rPr>
        <w:t>实验室检测能力提升至10000管/日，如采用10混1检测方案则可每天完成10万人份检测，以应对区域大面积筛查所需。</w:t>
      </w:r>
    </w:p>
    <w:p>
      <w:pPr>
        <w:pStyle w:val="9"/>
        <w:numPr>
          <w:ilvl w:val="0"/>
          <w:numId w:val="0"/>
        </w:numPr>
        <w:spacing w:line="360" w:lineRule="auto"/>
        <w:ind w:leftChars="0"/>
        <w:jc w:val="left"/>
        <w:rPr>
          <w:rFonts w:hint="eastAsia" w:ascii="仿宋" w:hAnsi="仿宋" w:eastAsia="仿宋"/>
          <w:sz w:val="28"/>
          <w:szCs w:val="28"/>
        </w:rPr>
      </w:pPr>
      <w:r>
        <w:rPr>
          <w:rFonts w:hint="eastAsia" w:ascii="仿宋" w:hAnsi="仿宋" w:eastAsia="仿宋"/>
          <w:sz w:val="28"/>
          <w:szCs w:val="28"/>
          <w:lang w:val="en-US" w:eastAsia="zh-CN"/>
        </w:rPr>
        <w:t>16.投标人</w:t>
      </w:r>
      <w:r>
        <w:rPr>
          <w:rFonts w:hint="eastAsia" w:ascii="仿宋" w:hAnsi="仿宋" w:eastAsia="仿宋"/>
          <w:sz w:val="28"/>
          <w:szCs w:val="28"/>
        </w:rPr>
        <w:t>按照相关新冠核酸检测医疗废物处理要求，负责新冠核酸检测过程中产生的医疗废物高压灭菌工作，灭菌操作人员须持证上岗。</w:t>
      </w:r>
    </w:p>
    <w:p>
      <w:pPr>
        <w:pStyle w:val="9"/>
        <w:numPr>
          <w:ilvl w:val="0"/>
          <w:numId w:val="0"/>
        </w:numPr>
        <w:spacing w:line="360" w:lineRule="auto"/>
        <w:ind w:leftChars="0"/>
        <w:jc w:val="left"/>
        <w:rPr>
          <w:rFonts w:hint="default" w:ascii="仿宋" w:hAnsi="仿宋" w:eastAsia="仿宋"/>
          <w:sz w:val="28"/>
          <w:szCs w:val="28"/>
          <w:lang w:val="en-US" w:eastAsia="zh-CN"/>
        </w:rPr>
      </w:pPr>
      <w:r>
        <w:rPr>
          <w:rFonts w:hint="eastAsia" w:ascii="仿宋" w:hAnsi="仿宋" w:eastAsia="仿宋"/>
          <w:sz w:val="28"/>
          <w:szCs w:val="28"/>
          <w:lang w:val="en-US" w:eastAsia="zh-CN"/>
        </w:rPr>
        <w:t>17.投标人制定应急处置方案，以应对方舱实验室故障、运输系统故障、信息系统故障等突发情况。</w:t>
      </w:r>
    </w:p>
    <w:p>
      <w:pPr>
        <w:pStyle w:val="9"/>
        <w:numPr>
          <w:ilvl w:val="0"/>
          <w:numId w:val="1"/>
        </w:numPr>
        <w:tabs>
          <w:tab w:val="left" w:pos="709"/>
        </w:tabs>
        <w:ind w:left="0" w:firstLine="0" w:firstLineChars="0"/>
        <w:rPr>
          <w:rFonts w:ascii="宋体" w:hAnsi="宋体" w:eastAsia="宋体"/>
          <w:sz w:val="28"/>
          <w:szCs w:val="28"/>
        </w:rPr>
      </w:pPr>
      <w:r>
        <w:rPr>
          <w:rFonts w:hint="eastAsia" w:ascii="宋体" w:hAnsi="宋体" w:eastAsia="宋体"/>
          <w:sz w:val="28"/>
          <w:szCs w:val="28"/>
        </w:rPr>
        <w:t>商务</w:t>
      </w:r>
      <w:r>
        <w:rPr>
          <w:rFonts w:ascii="宋体" w:hAnsi="宋体" w:eastAsia="宋体"/>
          <w:sz w:val="28"/>
          <w:szCs w:val="28"/>
        </w:rPr>
        <w:t>要求（</w:t>
      </w:r>
      <w:r>
        <w:rPr>
          <w:rFonts w:hint="eastAsia" w:ascii="宋体" w:hAnsi="宋体" w:eastAsia="宋体"/>
          <w:color w:val="FF0000"/>
          <w:sz w:val="28"/>
          <w:szCs w:val="28"/>
        </w:rPr>
        <w:t>如服务质量</w:t>
      </w:r>
      <w:r>
        <w:rPr>
          <w:rFonts w:ascii="宋体" w:hAnsi="宋体" w:eastAsia="宋体"/>
          <w:color w:val="FF0000"/>
          <w:sz w:val="28"/>
          <w:szCs w:val="28"/>
        </w:rPr>
        <w:t>考核、</w:t>
      </w:r>
      <w:r>
        <w:rPr>
          <w:rFonts w:hint="eastAsia" w:ascii="宋体" w:hAnsi="宋体" w:eastAsia="宋体"/>
          <w:color w:val="FF0000"/>
          <w:sz w:val="28"/>
          <w:szCs w:val="28"/>
        </w:rPr>
        <w:t>验收办法</w:t>
      </w:r>
      <w:r>
        <w:rPr>
          <w:rFonts w:ascii="宋体" w:hAnsi="宋体" w:eastAsia="宋体"/>
          <w:color w:val="FF0000"/>
          <w:sz w:val="28"/>
          <w:szCs w:val="28"/>
        </w:rPr>
        <w:t>、付款</w:t>
      </w:r>
      <w:r>
        <w:rPr>
          <w:rFonts w:hint="eastAsia" w:ascii="宋体" w:hAnsi="宋体" w:eastAsia="宋体"/>
          <w:color w:val="FF0000"/>
          <w:sz w:val="28"/>
          <w:szCs w:val="28"/>
        </w:rPr>
        <w:t>条件、</w:t>
      </w:r>
      <w:r>
        <w:rPr>
          <w:rFonts w:ascii="宋体" w:hAnsi="宋体" w:eastAsia="宋体"/>
          <w:color w:val="FF0000"/>
          <w:sz w:val="28"/>
          <w:szCs w:val="28"/>
        </w:rPr>
        <w:t>履约保证金</w:t>
      </w:r>
      <w:r>
        <w:rPr>
          <w:rFonts w:hint="eastAsia" w:ascii="宋体" w:hAnsi="宋体" w:eastAsia="宋体"/>
          <w:color w:val="FF0000"/>
          <w:sz w:val="28"/>
          <w:szCs w:val="28"/>
        </w:rPr>
        <w:t>、</w:t>
      </w:r>
      <w:r>
        <w:rPr>
          <w:rFonts w:ascii="宋体" w:hAnsi="宋体" w:eastAsia="宋体"/>
          <w:color w:val="FF0000"/>
          <w:sz w:val="28"/>
          <w:szCs w:val="28"/>
        </w:rPr>
        <w:t>保险</w:t>
      </w:r>
      <w:r>
        <w:rPr>
          <w:rFonts w:hint="eastAsia" w:ascii="宋体" w:hAnsi="宋体" w:eastAsia="宋体"/>
          <w:color w:val="FF0000"/>
          <w:sz w:val="28"/>
          <w:szCs w:val="28"/>
        </w:rPr>
        <w:t>等，其中</w:t>
      </w:r>
      <w:r>
        <w:rPr>
          <w:rFonts w:ascii="宋体" w:hAnsi="宋体" w:eastAsia="宋体"/>
          <w:color w:val="FF0000"/>
          <w:sz w:val="28"/>
          <w:szCs w:val="28"/>
        </w:rPr>
        <w:t>针对客观但不可量化</w:t>
      </w:r>
      <w:r>
        <w:rPr>
          <w:rFonts w:hint="eastAsia" w:ascii="宋体" w:hAnsi="宋体" w:eastAsia="宋体"/>
          <w:color w:val="FF0000"/>
          <w:sz w:val="28"/>
          <w:szCs w:val="28"/>
        </w:rPr>
        <w:t>的</w:t>
      </w:r>
      <w:r>
        <w:rPr>
          <w:rFonts w:ascii="宋体" w:hAnsi="宋体" w:eastAsia="宋体"/>
          <w:color w:val="FF0000"/>
          <w:sz w:val="28"/>
          <w:szCs w:val="28"/>
        </w:rPr>
        <w:t>要求，</w:t>
      </w:r>
      <w:r>
        <w:rPr>
          <w:rFonts w:hint="eastAsia" w:ascii="宋体" w:hAnsi="宋体" w:eastAsia="宋体"/>
          <w:color w:val="FF0000"/>
          <w:sz w:val="28"/>
          <w:szCs w:val="28"/>
        </w:rPr>
        <w:t>建议</w:t>
      </w:r>
      <w:r>
        <w:rPr>
          <w:rFonts w:ascii="宋体" w:hAnsi="宋体" w:eastAsia="宋体"/>
          <w:color w:val="FF0000"/>
          <w:sz w:val="28"/>
          <w:szCs w:val="28"/>
        </w:rPr>
        <w:t>按需设置为实质性条件，即加☆</w:t>
      </w:r>
      <w:r>
        <w:rPr>
          <w:rFonts w:hint="eastAsia" w:ascii="宋体" w:hAnsi="宋体" w:eastAsia="宋体"/>
          <w:color w:val="FF0000"/>
          <w:sz w:val="28"/>
          <w:szCs w:val="28"/>
        </w:rPr>
        <w:t>号</w:t>
      </w:r>
      <w:r>
        <w:rPr>
          <w:rFonts w:ascii="宋体" w:hAnsi="宋体" w:eastAsia="宋体"/>
          <w:sz w:val="28"/>
          <w:szCs w:val="28"/>
        </w:rPr>
        <w:t>）</w:t>
      </w:r>
    </w:p>
    <w:p>
      <w:pPr>
        <w:spacing w:line="400" w:lineRule="exact"/>
        <w:rPr>
          <w:rFonts w:ascii="仿宋" w:hAnsi="仿宋" w:eastAsia="仿宋"/>
          <w:b/>
          <w:bCs/>
          <w:sz w:val="24"/>
          <w:szCs w:val="24"/>
        </w:rPr>
      </w:pPr>
      <w:r>
        <w:rPr>
          <w:rFonts w:hint="eastAsia" w:ascii="仿宋" w:hAnsi="仿宋" w:eastAsia="仿宋"/>
          <w:sz w:val="24"/>
          <w:szCs w:val="24"/>
        </w:rPr>
        <w:t>1.投标人按质按量完成检验外送标本接收、运输、检测等工作，按照约定报告时限将检验结果反馈到医院LIS系统，并按临床需求提供检验结果临床意义解读与沟通。</w:t>
      </w:r>
    </w:p>
    <w:p>
      <w:pPr>
        <w:spacing w:line="400" w:lineRule="exact"/>
        <w:rPr>
          <w:rFonts w:ascii="仿宋" w:hAnsi="仿宋" w:eastAsia="仿宋"/>
          <w:b/>
          <w:bCs/>
          <w:sz w:val="24"/>
          <w:szCs w:val="24"/>
        </w:rPr>
      </w:pPr>
      <w:r>
        <w:rPr>
          <w:rFonts w:hint="eastAsia" w:ascii="仿宋" w:hAnsi="仿宋" w:eastAsia="仿宋"/>
          <w:sz w:val="24"/>
          <w:szCs w:val="24"/>
        </w:rPr>
        <w:t>2．室内质控数据真实可靠，提供报表给采购人定期核查</w:t>
      </w:r>
    </w:p>
    <w:p>
      <w:pPr>
        <w:spacing w:line="400" w:lineRule="exact"/>
        <w:rPr>
          <w:rFonts w:ascii="仿宋" w:hAnsi="仿宋" w:eastAsia="仿宋"/>
          <w:sz w:val="24"/>
          <w:szCs w:val="24"/>
        </w:rPr>
      </w:pPr>
      <w:r>
        <w:rPr>
          <w:rFonts w:hint="eastAsia" w:ascii="仿宋" w:hAnsi="仿宋" w:eastAsia="仿宋"/>
          <w:sz w:val="24"/>
          <w:szCs w:val="24"/>
        </w:rPr>
        <w:t>△2.1项目室间质评回馈得分平均PT&gt;80%</w:t>
      </w:r>
    </w:p>
    <w:p>
      <w:pPr>
        <w:spacing w:line="400" w:lineRule="exact"/>
        <w:rPr>
          <w:rFonts w:ascii="仿宋" w:hAnsi="仿宋" w:eastAsia="仿宋"/>
          <w:sz w:val="24"/>
          <w:szCs w:val="24"/>
        </w:rPr>
      </w:pPr>
      <w:r>
        <w:rPr>
          <w:rFonts w:hint="eastAsia" w:ascii="仿宋" w:hAnsi="仿宋" w:eastAsia="仿宋"/>
          <w:sz w:val="24"/>
          <w:szCs w:val="24"/>
        </w:rPr>
        <w:t>△2.2标本丢失每月不超过2例</w:t>
      </w:r>
    </w:p>
    <w:p>
      <w:pPr>
        <w:spacing w:line="400" w:lineRule="exact"/>
        <w:rPr>
          <w:rFonts w:ascii="仿宋" w:hAnsi="仿宋" w:eastAsia="仿宋"/>
          <w:sz w:val="24"/>
          <w:szCs w:val="24"/>
        </w:rPr>
      </w:pPr>
      <w:r>
        <w:rPr>
          <w:rFonts w:hint="eastAsia" w:ascii="仿宋" w:hAnsi="仿宋" w:eastAsia="仿宋"/>
          <w:sz w:val="24"/>
          <w:szCs w:val="24"/>
        </w:rPr>
        <w:t>△2.3月平均延时报告率&lt;5%，日延时报告率&gt;10%不能超过3次</w:t>
      </w:r>
    </w:p>
    <w:p>
      <w:pPr>
        <w:spacing w:line="400" w:lineRule="exact"/>
        <w:rPr>
          <w:rFonts w:ascii="仿宋" w:hAnsi="仿宋" w:eastAsia="仿宋"/>
          <w:sz w:val="24"/>
          <w:szCs w:val="24"/>
        </w:rPr>
      </w:pPr>
      <w:r>
        <w:rPr>
          <w:rFonts w:hint="eastAsia" w:ascii="仿宋" w:hAnsi="仿宋" w:eastAsia="仿宋"/>
          <w:sz w:val="24"/>
          <w:szCs w:val="24"/>
        </w:rPr>
        <w:t>△2.4</w:t>
      </w:r>
      <w:r>
        <w:rPr>
          <w:rFonts w:hint="eastAsia" w:ascii="仿宋" w:hAnsi="仿宋" w:eastAsia="仿宋"/>
          <w:sz w:val="24"/>
          <w:szCs w:val="24"/>
          <w:lang w:val="en-US" w:eastAsia="zh-CN"/>
        </w:rPr>
        <w:t>阳性结果</w:t>
      </w:r>
      <w:r>
        <w:rPr>
          <w:rFonts w:hint="eastAsia" w:ascii="仿宋" w:hAnsi="仿宋" w:eastAsia="仿宋"/>
          <w:sz w:val="24"/>
          <w:szCs w:val="24"/>
        </w:rPr>
        <w:t>无漏报</w:t>
      </w:r>
    </w:p>
    <w:p>
      <w:pPr>
        <w:spacing w:line="400" w:lineRule="exact"/>
        <w:rPr>
          <w:rFonts w:ascii="仿宋" w:hAnsi="仿宋" w:eastAsia="仿宋"/>
          <w:sz w:val="24"/>
          <w:szCs w:val="24"/>
        </w:rPr>
      </w:pPr>
      <w:r>
        <w:rPr>
          <w:rFonts w:hint="eastAsia" w:ascii="仿宋" w:hAnsi="仿宋" w:eastAsia="仿宋"/>
          <w:sz w:val="24"/>
          <w:szCs w:val="24"/>
        </w:rPr>
        <w:t>△2.5信息系统对接故障响应时间&lt;2小时，每月延时响应不超过3次</w:t>
      </w:r>
    </w:p>
    <w:p>
      <w:pPr>
        <w:spacing w:line="400" w:lineRule="exact"/>
        <w:rPr>
          <w:rFonts w:hint="eastAsia" w:ascii="仿宋" w:hAnsi="仿宋" w:eastAsia="仿宋"/>
          <w:sz w:val="24"/>
          <w:szCs w:val="24"/>
        </w:rPr>
      </w:pPr>
      <w:r>
        <w:rPr>
          <w:rFonts w:hint="eastAsia" w:ascii="仿宋" w:hAnsi="仿宋" w:eastAsia="仿宋"/>
          <w:sz w:val="24"/>
          <w:szCs w:val="24"/>
        </w:rPr>
        <w:t>△2.6临床投诉数量&lt;</w:t>
      </w:r>
      <w:r>
        <w:rPr>
          <w:rFonts w:hint="eastAsia" w:ascii="仿宋" w:hAnsi="仿宋" w:eastAsia="仿宋"/>
          <w:sz w:val="24"/>
          <w:szCs w:val="24"/>
          <w:lang w:val="en-US" w:eastAsia="zh-CN"/>
        </w:rPr>
        <w:t>3</w:t>
      </w:r>
      <w:r>
        <w:rPr>
          <w:rFonts w:hint="eastAsia" w:ascii="仿宋" w:hAnsi="仿宋" w:eastAsia="仿宋"/>
          <w:sz w:val="24"/>
          <w:szCs w:val="24"/>
        </w:rPr>
        <w:t>例/月</w:t>
      </w:r>
    </w:p>
    <w:p>
      <w:pPr>
        <w:pStyle w:val="9"/>
        <w:numPr>
          <w:ilvl w:val="0"/>
          <w:numId w:val="0"/>
        </w:numPr>
        <w:tabs>
          <w:tab w:val="left" w:pos="709"/>
        </w:tabs>
        <w:ind w:leftChars="0"/>
        <w:rPr>
          <w:rFonts w:hint="default" w:ascii="宋体" w:hAnsi="宋体" w:eastAsia="宋体"/>
          <w:sz w:val="28"/>
          <w:szCs w:val="28"/>
          <w:lang w:val="en-US" w:eastAsia="zh-CN"/>
        </w:rPr>
      </w:pPr>
      <w:r>
        <w:rPr>
          <w:rFonts w:hint="eastAsia" w:ascii="仿宋" w:hAnsi="仿宋" w:eastAsia="仿宋"/>
          <w:color w:val="FF0000"/>
          <w:sz w:val="24"/>
          <w:szCs w:val="24"/>
        </w:rPr>
        <w:t>考核制度：投标人在项目实施过程中，完成情况满足全部带△条款，购买方按合同要求全额支付服务费用；如有带△条款不达标，每涉及一条带△条款，扣当月据实结算金额2%。</w:t>
      </w:r>
    </w:p>
    <w:p>
      <w:pPr>
        <w:pStyle w:val="9"/>
        <w:numPr>
          <w:ilvl w:val="0"/>
          <w:numId w:val="0"/>
        </w:numPr>
        <w:tabs>
          <w:tab w:val="left" w:pos="709"/>
          <w:tab w:val="left" w:pos="851"/>
        </w:tabs>
        <w:ind w:leftChars="0"/>
        <w:rPr>
          <w:rFonts w:ascii="宋体" w:hAnsi="宋体" w:eastAsia="宋体"/>
          <w:sz w:val="28"/>
          <w:szCs w:val="28"/>
        </w:rPr>
      </w:pPr>
    </w:p>
    <w:p>
      <w:pPr>
        <w:pStyle w:val="9"/>
        <w:numPr>
          <w:ilvl w:val="0"/>
          <w:numId w:val="1"/>
        </w:numPr>
        <w:tabs>
          <w:tab w:val="left" w:pos="709"/>
        </w:tabs>
        <w:ind w:left="0" w:firstLine="0" w:firstLineChars="0"/>
        <w:rPr>
          <w:rFonts w:ascii="宋体" w:hAnsi="宋体" w:eastAsia="宋体"/>
          <w:sz w:val="28"/>
          <w:szCs w:val="28"/>
        </w:rPr>
      </w:pPr>
      <w:r>
        <w:rPr>
          <w:rFonts w:hint="eastAsia" w:ascii="宋体" w:hAnsi="宋体" w:eastAsia="宋体"/>
          <w:sz w:val="28"/>
          <w:szCs w:val="28"/>
        </w:rPr>
        <w:t>其他</w:t>
      </w:r>
      <w:r>
        <w:rPr>
          <w:rFonts w:ascii="宋体" w:hAnsi="宋体" w:eastAsia="宋体"/>
          <w:sz w:val="28"/>
          <w:szCs w:val="28"/>
        </w:rPr>
        <w:t>需补充的需求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622FD"/>
    <w:multiLevelType w:val="multilevel"/>
    <w:tmpl w:val="8B3622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08384F"/>
    <w:multiLevelType w:val="multilevel"/>
    <w:tmpl w:val="5208384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1E159A"/>
    <w:multiLevelType w:val="multilevel"/>
    <w:tmpl w:val="611E15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yOWM3OTNiZjFkMTMxNzg1ZDAwMDk4MmI3MmUwNDgifQ=="/>
  </w:docVars>
  <w:rsids>
    <w:rsidRoot w:val="00107C94"/>
    <w:rsid w:val="00075086"/>
    <w:rsid w:val="00101ECF"/>
    <w:rsid w:val="00107C94"/>
    <w:rsid w:val="001617AB"/>
    <w:rsid w:val="001E2694"/>
    <w:rsid w:val="00205F25"/>
    <w:rsid w:val="00282EA2"/>
    <w:rsid w:val="00297C0D"/>
    <w:rsid w:val="002A148B"/>
    <w:rsid w:val="002A7A99"/>
    <w:rsid w:val="002B0A65"/>
    <w:rsid w:val="00310AC4"/>
    <w:rsid w:val="003307AC"/>
    <w:rsid w:val="003705BE"/>
    <w:rsid w:val="003C5B90"/>
    <w:rsid w:val="003F03D2"/>
    <w:rsid w:val="004A0EFF"/>
    <w:rsid w:val="004C6DDB"/>
    <w:rsid w:val="00522B5B"/>
    <w:rsid w:val="00564FE2"/>
    <w:rsid w:val="00575D11"/>
    <w:rsid w:val="006E3C8A"/>
    <w:rsid w:val="007103C3"/>
    <w:rsid w:val="007315A2"/>
    <w:rsid w:val="00763D6C"/>
    <w:rsid w:val="008C4BAC"/>
    <w:rsid w:val="0097794E"/>
    <w:rsid w:val="009A3121"/>
    <w:rsid w:val="009B3596"/>
    <w:rsid w:val="00AB0D1F"/>
    <w:rsid w:val="00B205D3"/>
    <w:rsid w:val="00B4026A"/>
    <w:rsid w:val="00D116B0"/>
    <w:rsid w:val="00D2583B"/>
    <w:rsid w:val="00D549CF"/>
    <w:rsid w:val="00D827C3"/>
    <w:rsid w:val="00DA28C4"/>
    <w:rsid w:val="00E957F8"/>
    <w:rsid w:val="00F047A7"/>
    <w:rsid w:val="03AD318E"/>
    <w:rsid w:val="27750759"/>
    <w:rsid w:val="2F0C4CE3"/>
    <w:rsid w:val="30DE58D5"/>
    <w:rsid w:val="57AE037F"/>
    <w:rsid w:val="57F21A71"/>
    <w:rsid w:val="7D213B83"/>
    <w:rsid w:val="7E71385C"/>
    <w:rsid w:val="7EAF7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tabs>
        <w:tab w:val="center" w:pos="0"/>
      </w:tabs>
      <w:spacing w:after="120" w:afterLines="0" w:afterAutospacing="0" w:line="480" w:lineRule="auto"/>
      <w:ind w:left="420" w:leftChars="200"/>
    </w:pPr>
  </w:style>
  <w:style w:type="paragraph" w:styleId="3">
    <w:name w:val="annotation text"/>
    <w:basedOn w:val="1"/>
    <w:semiHidden/>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34"/>
    <w:pPr>
      <w:ind w:firstLine="420" w:firstLineChars="200"/>
    </w:p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3542</Words>
  <Characters>3747</Characters>
  <Lines>5</Lines>
  <Paragraphs>1</Paragraphs>
  <TotalTime>33</TotalTime>
  <ScaleCrop>false</ScaleCrop>
  <LinksUpToDate>false</LinksUpToDate>
  <CharactersWithSpaces>3766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2021-05-31T08:21:00Z</dcterms:created>
  <dc:creator>肖翔</dc:creator>
  <cp:lastModifiedBy>Luo WF</cp:lastModifiedBy>
  <dcterms:modified xsi:type="dcterms:W3CDTF">2022-12-06T02:28:58Z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9EBD7DD891804420AA3D4893DDA8C41A</vt:lpwstr>
  </property>
</Properties>
</file>