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90C" w:rsidRDefault="0026390C">
      <w:pPr>
        <w:jc w:val="center"/>
        <w:rPr>
          <w:rFonts w:ascii="宋体" w:eastAsia="宋体" w:hAnsi="宋体"/>
          <w:b/>
          <w:sz w:val="32"/>
          <w:szCs w:val="32"/>
        </w:rPr>
      </w:pPr>
      <w:bookmarkStart w:id="0" w:name="_GoBack"/>
      <w:bookmarkEnd w:id="0"/>
    </w:p>
    <w:p w:rsidR="0026390C" w:rsidRDefault="00E458B4">
      <w:pPr>
        <w:jc w:val="center"/>
        <w:rPr>
          <w:rFonts w:ascii="宋体" w:eastAsia="宋体" w:hAnsi="宋体"/>
          <w:b/>
          <w:sz w:val="32"/>
          <w:szCs w:val="32"/>
        </w:rPr>
      </w:pPr>
      <w:r>
        <w:rPr>
          <w:rFonts w:ascii="宋体" w:eastAsia="宋体" w:hAnsi="宋体" w:hint="eastAsia"/>
          <w:b/>
          <w:sz w:val="32"/>
          <w:szCs w:val="32"/>
        </w:rPr>
        <w:t>番禺中心医院医疗集团医学检验、检查项目委托检验服务项目子包1：用户需求书</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项目</w:t>
      </w:r>
      <w:r>
        <w:rPr>
          <w:rFonts w:ascii="宋体" w:eastAsia="宋体" w:hAnsi="宋体"/>
          <w:sz w:val="28"/>
          <w:szCs w:val="28"/>
        </w:rPr>
        <w:t>概况</w:t>
      </w:r>
    </w:p>
    <w:tbl>
      <w:tblPr>
        <w:tblpPr w:leftFromText="180" w:rightFromText="180" w:vertAnchor="text" w:horzAnchor="margin" w:tblpXSpec="center" w:tblpY="71"/>
        <w:tblW w:w="5867"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534"/>
        <w:gridCol w:w="833"/>
        <w:gridCol w:w="1503"/>
        <w:gridCol w:w="1082"/>
        <w:gridCol w:w="680"/>
        <w:gridCol w:w="1235"/>
      </w:tblGrid>
      <w:tr w:rsidR="0026390C" w:rsidTr="00E645F0">
        <w:trPr>
          <w:trHeight w:val="923"/>
        </w:trPr>
        <w:tc>
          <w:tcPr>
            <w:tcW w:w="534" w:type="dxa"/>
            <w:vAlign w:val="center"/>
          </w:tcPr>
          <w:p w:rsidR="0026390C" w:rsidRDefault="00E458B4">
            <w:pPr>
              <w:widowControl/>
              <w:jc w:val="center"/>
              <w:rPr>
                <w:rFonts w:ascii="宋体" w:eastAsia="宋体" w:hAnsi="宋体" w:cs="宋体"/>
                <w:b/>
                <w:color w:val="000000"/>
                <w:szCs w:val="21"/>
              </w:rPr>
            </w:pPr>
            <w:r>
              <w:rPr>
                <w:rFonts w:ascii="宋体" w:eastAsia="宋体" w:hAnsi="宋体" w:cs="宋体" w:hint="eastAsia"/>
                <w:b/>
                <w:color w:val="000000"/>
                <w:szCs w:val="21"/>
              </w:rPr>
              <w:t>序号</w:t>
            </w:r>
          </w:p>
        </w:tc>
        <w:tc>
          <w:tcPr>
            <w:tcW w:w="833" w:type="dxa"/>
            <w:vAlign w:val="center"/>
          </w:tcPr>
          <w:p w:rsidR="0026390C" w:rsidRDefault="00E458B4">
            <w:pPr>
              <w:widowControl/>
              <w:jc w:val="center"/>
              <w:rPr>
                <w:rFonts w:ascii="宋体" w:eastAsia="宋体" w:hAnsi="宋体" w:cs="宋体"/>
                <w:b/>
                <w:color w:val="000000"/>
                <w:szCs w:val="21"/>
              </w:rPr>
            </w:pPr>
            <w:r>
              <w:rPr>
                <w:rFonts w:ascii="宋体" w:eastAsia="宋体" w:hAnsi="宋体" w:cs="宋体" w:hint="eastAsia"/>
                <w:b/>
                <w:color w:val="000000"/>
                <w:szCs w:val="21"/>
              </w:rPr>
              <w:t>主管科室</w:t>
            </w:r>
          </w:p>
        </w:tc>
        <w:tc>
          <w:tcPr>
            <w:tcW w:w="1503" w:type="dxa"/>
            <w:vAlign w:val="center"/>
          </w:tcPr>
          <w:p w:rsidR="0026390C" w:rsidRDefault="00E458B4">
            <w:pPr>
              <w:widowControl/>
              <w:jc w:val="center"/>
              <w:rPr>
                <w:rFonts w:ascii="宋体" w:eastAsia="宋体" w:hAnsi="宋体" w:cs="宋体"/>
                <w:b/>
                <w:color w:val="000000"/>
                <w:szCs w:val="21"/>
              </w:rPr>
            </w:pPr>
            <w:r>
              <w:rPr>
                <w:rFonts w:ascii="宋体" w:eastAsia="宋体" w:hAnsi="宋体" w:cs="宋体" w:hint="eastAsia"/>
                <w:b/>
                <w:color w:val="000000"/>
                <w:szCs w:val="21"/>
              </w:rPr>
              <w:t>服务名称</w:t>
            </w:r>
          </w:p>
        </w:tc>
        <w:tc>
          <w:tcPr>
            <w:tcW w:w="1082" w:type="dxa"/>
            <w:vAlign w:val="center"/>
          </w:tcPr>
          <w:p w:rsidR="0026390C" w:rsidRDefault="00E458B4">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预算单价</w:t>
            </w:r>
            <w:r>
              <w:rPr>
                <w:rFonts w:ascii="宋体" w:eastAsia="宋体" w:hAnsi="宋体" w:cs="宋体" w:hint="eastAsia"/>
                <w:b/>
                <w:color w:val="000000"/>
                <w:szCs w:val="21"/>
              </w:rPr>
              <w:t>（万元）</w:t>
            </w:r>
          </w:p>
        </w:tc>
        <w:tc>
          <w:tcPr>
            <w:tcW w:w="680" w:type="dxa"/>
            <w:vAlign w:val="center"/>
          </w:tcPr>
          <w:p w:rsidR="0026390C" w:rsidRDefault="00E458B4">
            <w:pPr>
              <w:widowControl/>
              <w:jc w:val="center"/>
              <w:rPr>
                <w:rFonts w:ascii="宋体" w:eastAsia="宋体" w:hAnsi="宋体" w:cs="宋体"/>
                <w:b/>
                <w:bCs/>
                <w:color w:val="000000"/>
                <w:szCs w:val="21"/>
              </w:rPr>
            </w:pPr>
            <w:r>
              <w:rPr>
                <w:rFonts w:ascii="宋体" w:eastAsia="宋体" w:hAnsi="宋体" w:cs="宋体" w:hint="eastAsia"/>
                <w:b/>
                <w:bCs/>
                <w:color w:val="000000"/>
                <w:szCs w:val="21"/>
              </w:rPr>
              <w:t>数量</w:t>
            </w:r>
          </w:p>
        </w:tc>
        <w:tc>
          <w:tcPr>
            <w:tcW w:w="1235" w:type="dxa"/>
            <w:vAlign w:val="center"/>
          </w:tcPr>
          <w:p w:rsidR="0026390C" w:rsidRDefault="00E458B4">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预算金额（万元）</w:t>
            </w:r>
          </w:p>
        </w:tc>
      </w:tr>
      <w:tr w:rsidR="0026390C" w:rsidTr="00E645F0">
        <w:trPr>
          <w:trHeight w:val="1340"/>
        </w:trPr>
        <w:tc>
          <w:tcPr>
            <w:tcW w:w="534" w:type="dxa"/>
            <w:vAlign w:val="center"/>
          </w:tcPr>
          <w:p w:rsidR="0026390C" w:rsidRDefault="00E458B4">
            <w:pPr>
              <w:widowControl/>
              <w:jc w:val="center"/>
              <w:rPr>
                <w:rFonts w:ascii="宋体" w:eastAsia="宋体" w:hAnsi="宋体" w:cs="宋体"/>
                <w:bCs/>
                <w:color w:val="000000"/>
                <w:szCs w:val="21"/>
              </w:rPr>
            </w:pPr>
            <w:r>
              <w:rPr>
                <w:rFonts w:ascii="宋体" w:eastAsia="宋体" w:hAnsi="宋体" w:cs="宋体" w:hint="eastAsia"/>
                <w:bCs/>
                <w:color w:val="000000"/>
                <w:szCs w:val="21"/>
              </w:rPr>
              <w:t>1</w:t>
            </w:r>
          </w:p>
        </w:tc>
        <w:tc>
          <w:tcPr>
            <w:tcW w:w="833" w:type="dxa"/>
            <w:vAlign w:val="center"/>
          </w:tcPr>
          <w:p w:rsidR="0026390C" w:rsidRDefault="00E458B4">
            <w:pPr>
              <w:widowControl/>
              <w:jc w:val="center"/>
              <w:rPr>
                <w:rFonts w:ascii="宋体" w:eastAsia="宋体" w:hAnsi="宋体" w:cs="宋体"/>
                <w:bCs/>
                <w:color w:val="000000"/>
                <w:szCs w:val="21"/>
              </w:rPr>
            </w:pPr>
            <w:r>
              <w:rPr>
                <w:rFonts w:ascii="宋体" w:eastAsia="宋体" w:hAnsi="宋体" w:cs="宋体" w:hint="eastAsia"/>
                <w:bCs/>
                <w:color w:val="000000"/>
                <w:szCs w:val="21"/>
              </w:rPr>
              <w:t>中心实验室</w:t>
            </w:r>
          </w:p>
        </w:tc>
        <w:tc>
          <w:tcPr>
            <w:tcW w:w="1503" w:type="dxa"/>
            <w:vAlign w:val="center"/>
          </w:tcPr>
          <w:p w:rsidR="0026390C" w:rsidRDefault="00E458B4">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番禺中心医院医疗集团医学检验、检查项目委托检验服务项目（子包1）</w:t>
            </w:r>
          </w:p>
        </w:tc>
        <w:tc>
          <w:tcPr>
            <w:tcW w:w="1082" w:type="dxa"/>
            <w:vAlign w:val="center"/>
          </w:tcPr>
          <w:p w:rsidR="0026390C" w:rsidRDefault="00E458B4">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610</w:t>
            </w:r>
          </w:p>
        </w:tc>
        <w:tc>
          <w:tcPr>
            <w:tcW w:w="680" w:type="dxa"/>
            <w:vAlign w:val="center"/>
          </w:tcPr>
          <w:p w:rsidR="0026390C" w:rsidRDefault="00E458B4">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1项</w:t>
            </w:r>
          </w:p>
        </w:tc>
        <w:tc>
          <w:tcPr>
            <w:tcW w:w="1235" w:type="dxa"/>
            <w:vAlign w:val="center"/>
          </w:tcPr>
          <w:p w:rsidR="0026390C" w:rsidRDefault="00E458B4">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610</w:t>
            </w:r>
          </w:p>
        </w:tc>
      </w:tr>
    </w:tbl>
    <w:p w:rsidR="0026390C" w:rsidRDefault="0026390C" w:rsidP="00E645F0">
      <w:pPr>
        <w:pStyle w:val="af0"/>
        <w:tabs>
          <w:tab w:val="left" w:pos="420"/>
        </w:tabs>
        <w:spacing w:line="500" w:lineRule="exact"/>
        <w:ind w:left="360" w:firstLineChars="0" w:firstLine="0"/>
        <w:rPr>
          <w:rFonts w:ascii="宋体" w:eastAsia="宋体" w:hAnsi="宋体"/>
          <w:color w:val="000000"/>
          <w:sz w:val="24"/>
        </w:rPr>
      </w:pPr>
    </w:p>
    <w:p w:rsidR="0026390C" w:rsidRDefault="0026390C" w:rsidP="00E645F0">
      <w:pPr>
        <w:pStyle w:val="af0"/>
        <w:tabs>
          <w:tab w:val="left" w:pos="420"/>
        </w:tabs>
        <w:spacing w:line="500" w:lineRule="exact"/>
        <w:ind w:left="360" w:firstLineChars="0" w:firstLine="0"/>
        <w:rPr>
          <w:rFonts w:ascii="宋体" w:eastAsia="宋体" w:hAnsi="宋体"/>
          <w:color w:val="000000"/>
          <w:sz w:val="24"/>
        </w:rPr>
      </w:pPr>
    </w:p>
    <w:p w:rsidR="0026390C" w:rsidRDefault="0026390C" w:rsidP="00E645F0">
      <w:pPr>
        <w:pStyle w:val="af0"/>
        <w:tabs>
          <w:tab w:val="left" w:pos="420"/>
        </w:tabs>
        <w:spacing w:line="500" w:lineRule="exact"/>
        <w:ind w:left="360" w:firstLineChars="0" w:firstLine="0"/>
        <w:rPr>
          <w:rFonts w:ascii="宋体" w:eastAsia="宋体" w:hAnsi="宋体"/>
          <w:color w:val="000000"/>
          <w:sz w:val="24"/>
        </w:rPr>
      </w:pPr>
    </w:p>
    <w:p w:rsidR="0026390C" w:rsidRDefault="0026390C" w:rsidP="00E645F0">
      <w:pPr>
        <w:pStyle w:val="af0"/>
        <w:tabs>
          <w:tab w:val="left" w:pos="420"/>
        </w:tabs>
        <w:spacing w:line="500" w:lineRule="exact"/>
        <w:ind w:left="360" w:firstLineChars="0" w:firstLine="0"/>
        <w:rPr>
          <w:rFonts w:ascii="宋体" w:eastAsia="宋体" w:hAnsi="宋体"/>
          <w:color w:val="000000"/>
          <w:sz w:val="24"/>
        </w:rPr>
      </w:pPr>
    </w:p>
    <w:p w:rsidR="0026390C" w:rsidRDefault="0026390C" w:rsidP="00E645F0">
      <w:pPr>
        <w:pStyle w:val="af0"/>
        <w:tabs>
          <w:tab w:val="left" w:pos="420"/>
        </w:tabs>
        <w:spacing w:line="500" w:lineRule="exact"/>
        <w:ind w:left="360" w:firstLineChars="0" w:firstLine="0"/>
        <w:rPr>
          <w:rFonts w:ascii="宋体" w:eastAsia="宋体" w:hAnsi="宋体"/>
          <w:color w:val="000000"/>
          <w:sz w:val="24"/>
        </w:rPr>
      </w:pPr>
    </w:p>
    <w:p w:rsidR="0026390C" w:rsidRDefault="0026390C" w:rsidP="00E645F0">
      <w:pPr>
        <w:pStyle w:val="af0"/>
        <w:tabs>
          <w:tab w:val="left" w:pos="420"/>
        </w:tabs>
        <w:spacing w:line="500" w:lineRule="exact"/>
        <w:ind w:left="360" w:firstLineChars="0" w:firstLine="0"/>
        <w:rPr>
          <w:rFonts w:ascii="宋体" w:eastAsia="宋体" w:hAnsi="宋体"/>
          <w:color w:val="000000"/>
          <w:sz w:val="24"/>
        </w:rPr>
      </w:pPr>
    </w:p>
    <w:p w:rsidR="0026390C" w:rsidRDefault="00E458B4">
      <w:pPr>
        <w:pStyle w:val="af0"/>
        <w:numPr>
          <w:ilvl w:val="0"/>
          <w:numId w:val="2"/>
        </w:numPr>
        <w:tabs>
          <w:tab w:val="left" w:pos="420"/>
        </w:tabs>
        <w:spacing w:line="500" w:lineRule="exact"/>
        <w:ind w:firstLineChars="0"/>
        <w:rPr>
          <w:rFonts w:ascii="宋体" w:eastAsia="宋体" w:hAnsi="宋体"/>
          <w:color w:val="000000"/>
          <w:sz w:val="24"/>
        </w:rPr>
      </w:pPr>
      <w:r>
        <w:rPr>
          <w:rFonts w:ascii="宋体" w:eastAsia="宋体" w:hAnsi="宋体" w:hint="eastAsia"/>
          <w:color w:val="000000"/>
          <w:sz w:val="24"/>
        </w:rPr>
        <w:t>采购人简介：</w:t>
      </w:r>
    </w:p>
    <w:p w:rsidR="0026390C" w:rsidRDefault="00E458B4">
      <w:pPr>
        <w:tabs>
          <w:tab w:val="left" w:pos="420"/>
        </w:tabs>
        <w:spacing w:line="500" w:lineRule="exact"/>
        <w:ind w:firstLineChars="200" w:firstLine="480"/>
        <w:rPr>
          <w:rFonts w:ascii="宋体" w:eastAsia="宋体" w:hAnsi="宋体" w:cs="Times New Roman"/>
          <w:sz w:val="24"/>
        </w:rPr>
      </w:pPr>
      <w:r>
        <w:rPr>
          <w:rFonts w:ascii="宋体" w:eastAsia="宋体" w:hAnsi="宋体" w:hint="eastAsia"/>
          <w:color w:val="000000"/>
          <w:sz w:val="24"/>
        </w:rPr>
        <w:t>番禺中心医院医疗集团成员包括广州市番禺区中心医院（包括院本部、区府机关门诊、药物治疗门诊）、广州市番禺区第七人民医院（东院区）。广州市番禺区中心医院始建于1929年,2011年通过三级甲等医院评审，成为广州地区首家区属“三甲”综合医院,目前已发展成为集医疗、教学、科研、康复、预防、保健于一体的现代化大型综合三级甲等医院。</w:t>
      </w:r>
    </w:p>
    <w:p w:rsidR="0026390C" w:rsidRDefault="00E458B4">
      <w:pPr>
        <w:pStyle w:val="af0"/>
        <w:numPr>
          <w:ilvl w:val="0"/>
          <w:numId w:val="2"/>
        </w:numPr>
        <w:spacing w:line="500" w:lineRule="exact"/>
        <w:ind w:firstLineChars="0"/>
        <w:rPr>
          <w:rFonts w:ascii="宋体" w:eastAsia="宋体" w:hAnsi="宋体" w:cs="Times New Roman"/>
          <w:sz w:val="24"/>
        </w:rPr>
      </w:pPr>
      <w:r>
        <w:rPr>
          <w:rFonts w:ascii="宋体" w:eastAsia="宋体" w:hAnsi="宋体" w:cs="Times New Roman" w:hint="eastAsia"/>
          <w:sz w:val="24"/>
        </w:rPr>
        <w:t>项目目的：</w:t>
      </w:r>
    </w:p>
    <w:p w:rsidR="0026390C" w:rsidRDefault="00E458B4">
      <w:pPr>
        <w:spacing w:line="500" w:lineRule="exact"/>
        <w:ind w:firstLineChars="200" w:firstLine="480"/>
        <w:rPr>
          <w:rFonts w:ascii="宋体" w:eastAsia="宋体" w:hAnsi="宋体" w:cs="Times New Roman"/>
          <w:sz w:val="24"/>
        </w:rPr>
      </w:pPr>
      <w:r>
        <w:rPr>
          <w:rFonts w:ascii="宋体" w:eastAsia="宋体" w:hAnsi="宋体" w:hint="eastAsia"/>
          <w:color w:val="000000"/>
          <w:sz w:val="24"/>
        </w:rPr>
        <w:t>近年来，随着业务的增长，病源和病种越来越丰富，临床检验和病理检查项目要求的种类也不断增加，为满足医疗业务、科研等发展需要，医院将部分检验检查项目外送至第三方实验室检测，</w:t>
      </w:r>
      <w:r>
        <w:rPr>
          <w:rFonts w:ascii="宋体" w:eastAsia="宋体" w:hAnsi="宋体" w:cs="Times New Roman" w:hint="eastAsia"/>
          <w:sz w:val="24"/>
        </w:rPr>
        <w:t>委托供应商承接本集团部分检验外送项目。</w:t>
      </w:r>
    </w:p>
    <w:p w:rsidR="0026390C" w:rsidRDefault="00E458B4">
      <w:pPr>
        <w:pStyle w:val="a0"/>
        <w:spacing w:after="0" w:line="360" w:lineRule="auto"/>
      </w:pPr>
      <w:r>
        <w:rPr>
          <w:rFonts w:ascii="宋体" w:eastAsia="宋体" w:hAnsi="宋体" w:cs="Times New Roman" w:hint="eastAsia"/>
          <w:sz w:val="24"/>
          <w:szCs w:val="24"/>
        </w:rPr>
        <w:t>3.</w:t>
      </w:r>
      <w:r>
        <w:rPr>
          <w:rFonts w:ascii="宋体" w:eastAsia="宋体" w:hAnsi="宋体" w:cs="宋体" w:hint="eastAsia"/>
          <w:sz w:val="24"/>
          <w:szCs w:val="28"/>
        </w:rPr>
        <w:t>项目实施周期：2年（自采购合同签订之日起2年）。</w:t>
      </w:r>
    </w:p>
    <w:p w:rsidR="0026390C" w:rsidRDefault="00E458B4">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4.实施地址：番禺区中心医院检验科、病理科、中心实验室和番禺区第七人民医院检验科。</w:t>
      </w:r>
    </w:p>
    <w:p w:rsidR="0026390C" w:rsidRDefault="00E458B4">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5.基本要求：</w:t>
      </w:r>
    </w:p>
    <w:p w:rsidR="0026390C" w:rsidRDefault="00E458B4">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5.1供应商负责完成对临床检验外送标本的接收、运输、检测、报告、临床意义解读等工作。</w:t>
      </w:r>
    </w:p>
    <w:p w:rsidR="0026390C" w:rsidRDefault="00E458B4">
      <w:pPr>
        <w:tabs>
          <w:tab w:val="left" w:pos="420"/>
        </w:tabs>
        <w:spacing w:line="500" w:lineRule="exact"/>
        <w:rPr>
          <w:rFonts w:ascii="宋体" w:eastAsia="宋体" w:hAnsi="宋体" w:cs="Times New Roman"/>
          <w:color w:val="ED7D31" w:themeColor="accent2"/>
          <w:sz w:val="24"/>
          <w:szCs w:val="24"/>
        </w:rPr>
      </w:pPr>
      <w:r>
        <w:rPr>
          <w:rFonts w:ascii="宋体" w:eastAsia="宋体" w:hAnsi="宋体" w:cs="Times New Roman" w:hint="eastAsia"/>
          <w:color w:val="ED7D31" w:themeColor="accent2"/>
          <w:sz w:val="24"/>
          <w:szCs w:val="24"/>
        </w:rPr>
        <w:lastRenderedPageBreak/>
        <w:t>5.2</w:t>
      </w:r>
      <w:r>
        <w:rPr>
          <w:rFonts w:ascii="宋体" w:eastAsia="宋体" w:hAnsi="宋体" w:hint="eastAsia"/>
          <w:color w:val="ED7D31" w:themeColor="accent2"/>
          <w:sz w:val="24"/>
        </w:rPr>
        <w:t>当番禺区出现突发应急事件，需要开展大规模应急检验、检查情况下，供应商须承诺为番禺中心医院医疗集团提供相应的应急医疗检测服务。</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报价范围的定义</w:t>
      </w:r>
    </w:p>
    <w:p w:rsidR="0026390C" w:rsidRDefault="00E458B4">
      <w:pPr>
        <w:pStyle w:val="af1"/>
        <w:spacing w:line="500" w:lineRule="exact"/>
        <w:ind w:firstLineChars="200" w:firstLine="520"/>
        <w:rPr>
          <w:rFonts w:ascii="宋体" w:hAnsi="宋体" w:cs="宋体"/>
          <w:color w:val="000000"/>
          <w:szCs w:val="24"/>
        </w:rPr>
      </w:pPr>
      <w:r>
        <w:rPr>
          <w:rFonts w:ascii="宋体" w:hAnsi="宋体" w:cs="宋体" w:hint="eastAsia"/>
          <w:color w:val="000000"/>
          <w:szCs w:val="24"/>
        </w:rPr>
        <w:t>本项目为最高610万元的采购限额。采购人负责向病人收取检验费，供应商按照相关收费标准并根据本条第2款的结算比例向采购人收取委托检验服务费。属于基本医疗服务项目，执行《广州地区公立医疗机构基本医疗服务价格汇总表（2021年版）》医院收费标准；属于自主定价项目，执行《广州市医疗保障局 广州市财政局 广州市卫生健康委关于调整公立医院基本医疗服务价格的通知》（粤医保规[2020]3号）文件；收费标准随着政策变动适时调整。</w:t>
      </w:r>
    </w:p>
    <w:p w:rsidR="0026390C" w:rsidRDefault="00E458B4">
      <w:pPr>
        <w:pStyle w:val="af1"/>
        <w:spacing w:line="500" w:lineRule="exact"/>
        <w:rPr>
          <w:rFonts w:ascii="宋体" w:hAnsi="宋体" w:cs="宋体"/>
          <w:color w:val="000000"/>
          <w:szCs w:val="24"/>
        </w:rPr>
      </w:pPr>
      <w:r>
        <w:rPr>
          <w:rFonts w:ascii="宋体" w:hAnsi="宋体" w:cs="宋体" w:hint="eastAsia"/>
          <w:color w:val="000000"/>
          <w:szCs w:val="24"/>
        </w:rPr>
        <w:t>★1.供应商对项目整体报出结算折扣率；项目限定结算折扣率少于或等于50%；若供应商所报结算折扣率大于50%则为无效报价，报标无效。</w:t>
      </w:r>
    </w:p>
    <w:p w:rsidR="0026390C" w:rsidRDefault="00E458B4">
      <w:pPr>
        <w:pStyle w:val="af1"/>
        <w:spacing w:line="500" w:lineRule="exact"/>
        <w:rPr>
          <w:rFonts w:ascii="宋体" w:hAnsi="宋体" w:cs="宋体"/>
          <w:color w:val="000000"/>
          <w:szCs w:val="24"/>
        </w:rPr>
      </w:pPr>
      <w:r>
        <w:rPr>
          <w:rFonts w:ascii="宋体" w:hAnsi="宋体" w:cs="宋体" w:hint="eastAsia"/>
          <w:color w:val="000000"/>
          <w:szCs w:val="24"/>
        </w:rPr>
        <w:t>2.委托检验项目检验费×折扣率=委托检验项目服务费。</w:t>
      </w:r>
    </w:p>
    <w:p w:rsidR="0026390C" w:rsidRDefault="00E458B4">
      <w:pPr>
        <w:pStyle w:val="af1"/>
        <w:spacing w:line="500" w:lineRule="exact"/>
        <w:rPr>
          <w:rFonts w:ascii="宋体" w:hAnsi="宋体" w:cs="宋体"/>
          <w:color w:val="000000"/>
          <w:szCs w:val="24"/>
        </w:rPr>
      </w:pPr>
      <w:r>
        <w:rPr>
          <w:rFonts w:ascii="宋体" w:hAnsi="宋体" w:cs="宋体" w:hint="eastAsia"/>
          <w:color w:val="000000"/>
          <w:szCs w:val="24"/>
        </w:rPr>
        <w:t>3.服务费包含供应商完成对委托检验项目的一切费用，包括标本的接收、运输、检测、报告、临床意义解读、售后服务、人力成本、保险等所有费用。</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sz w:val="28"/>
          <w:szCs w:val="28"/>
        </w:rPr>
        <w:t>资格要求</w:t>
      </w:r>
      <w:r>
        <w:rPr>
          <w:rFonts w:ascii="宋体" w:eastAsia="宋体" w:hAnsi="宋体" w:hint="eastAsia"/>
          <w:sz w:val="28"/>
          <w:szCs w:val="28"/>
        </w:rPr>
        <w:t>及政策</w:t>
      </w:r>
      <w:r>
        <w:rPr>
          <w:rFonts w:ascii="宋体" w:eastAsia="宋体" w:hAnsi="宋体"/>
          <w:sz w:val="28"/>
          <w:szCs w:val="28"/>
        </w:rPr>
        <w:t>要求</w:t>
      </w:r>
    </w:p>
    <w:p w:rsidR="0026390C" w:rsidRDefault="00E458B4">
      <w:pPr>
        <w:pStyle w:val="af1"/>
        <w:spacing w:line="500" w:lineRule="exact"/>
        <w:rPr>
          <w:rFonts w:ascii="宋体" w:hAnsi="宋体" w:cs="宋体"/>
          <w:color w:val="000000"/>
          <w:szCs w:val="24"/>
        </w:rPr>
      </w:pPr>
      <w:r>
        <w:rPr>
          <w:rFonts w:ascii="宋体" w:hAnsi="宋体" w:cs="宋体" w:hint="eastAsia"/>
          <w:color w:val="000000"/>
          <w:szCs w:val="24"/>
        </w:rPr>
        <w:t>1.提供在中华人民共和国境内注册的具有独立承担民事责任能力的法人或其他组织（提供营业执照等证明文件）；</w:t>
      </w:r>
    </w:p>
    <w:p w:rsidR="0026390C" w:rsidRDefault="00E458B4">
      <w:pPr>
        <w:pStyle w:val="af1"/>
        <w:spacing w:line="500" w:lineRule="exact"/>
        <w:rPr>
          <w:rFonts w:ascii="宋体" w:hAnsi="宋体" w:cs="宋体"/>
          <w:color w:val="000000"/>
          <w:szCs w:val="24"/>
        </w:rPr>
      </w:pPr>
      <w:r>
        <w:rPr>
          <w:rFonts w:ascii="宋体" w:hAnsi="宋体" w:cs="宋体" w:hint="eastAsia"/>
          <w:color w:val="000000"/>
          <w:szCs w:val="24"/>
        </w:rPr>
        <w:t>2、具有卫生部门核发且在有效期内的医疗机构执业许可证。</w:t>
      </w:r>
    </w:p>
    <w:p w:rsidR="0026390C" w:rsidRDefault="00E458B4">
      <w:pPr>
        <w:pStyle w:val="af1"/>
        <w:spacing w:line="500" w:lineRule="exact"/>
        <w:rPr>
          <w:rFonts w:ascii="宋体" w:hAnsi="宋体" w:cs="宋体"/>
          <w:color w:val="000000"/>
          <w:szCs w:val="24"/>
        </w:rPr>
      </w:pPr>
      <w:r>
        <w:rPr>
          <w:rFonts w:ascii="宋体" w:hAnsi="宋体" w:cs="宋体" w:hint="eastAsia"/>
          <w:color w:val="000000"/>
          <w:szCs w:val="24"/>
        </w:rPr>
        <w:t>3、法人委托书。</w:t>
      </w:r>
    </w:p>
    <w:p w:rsidR="0026390C" w:rsidRDefault="00E458B4">
      <w:pPr>
        <w:pStyle w:val="af0"/>
        <w:tabs>
          <w:tab w:val="left" w:pos="851"/>
        </w:tabs>
        <w:ind w:firstLineChars="0" w:firstLine="0"/>
        <w:rPr>
          <w:rFonts w:ascii="宋体" w:eastAsia="宋体" w:hAnsi="宋体" w:cs="宋体"/>
          <w:bCs/>
          <w:color w:val="000000"/>
          <w:spacing w:val="10"/>
          <w:kern w:val="0"/>
          <w:sz w:val="24"/>
          <w:szCs w:val="24"/>
        </w:rPr>
      </w:pPr>
      <w:r>
        <w:rPr>
          <w:rFonts w:ascii="宋体" w:eastAsia="宋体" w:hAnsi="宋体" w:cs="宋体" w:hint="eastAsia"/>
          <w:bCs/>
          <w:color w:val="000000"/>
          <w:spacing w:val="10"/>
          <w:kern w:val="0"/>
          <w:sz w:val="24"/>
          <w:szCs w:val="24"/>
        </w:rPr>
        <w:t>4、本项目不接受联合体投标。</w:t>
      </w:r>
    </w:p>
    <w:p w:rsidR="0026390C" w:rsidRDefault="00E458B4" w:rsidP="00E645F0">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是否</w:t>
      </w:r>
      <w:r>
        <w:rPr>
          <w:rFonts w:ascii="宋体" w:eastAsia="宋体" w:hAnsi="宋体"/>
          <w:sz w:val="28"/>
          <w:szCs w:val="28"/>
        </w:rPr>
        <w:t>中小企业</w:t>
      </w:r>
      <w:r>
        <w:rPr>
          <w:rFonts w:ascii="宋体" w:eastAsia="宋体" w:hAnsi="宋体" w:hint="eastAsia"/>
          <w:sz w:val="28"/>
          <w:szCs w:val="28"/>
        </w:rPr>
        <w:t>：提供</w:t>
      </w:r>
      <w:r>
        <w:rPr>
          <w:rFonts w:ascii="宋体" w:eastAsia="宋体" w:hAnsi="宋体" w:hint="eastAsia"/>
          <w:sz w:val="24"/>
          <w:szCs w:val="24"/>
        </w:rPr>
        <w:t>企业性质声明函。</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技术/服务要求：</w:t>
      </w:r>
    </w:p>
    <w:p w:rsidR="0026390C" w:rsidRDefault="00E458B4">
      <w:pPr>
        <w:spacing w:line="500" w:lineRule="exact"/>
        <w:rPr>
          <w:rFonts w:ascii="宋体" w:eastAsia="宋体" w:hAnsi="宋体"/>
          <w:b/>
          <w:sz w:val="24"/>
          <w:szCs w:val="24"/>
        </w:rPr>
      </w:pPr>
      <w:r>
        <w:rPr>
          <w:rFonts w:ascii="宋体" w:eastAsia="宋体" w:hAnsi="宋体" w:hint="eastAsia"/>
          <w:b/>
          <w:sz w:val="24"/>
          <w:szCs w:val="24"/>
        </w:rPr>
        <w:t>（一）、委托检验服务需求</w:t>
      </w:r>
    </w:p>
    <w:p w:rsidR="0026390C" w:rsidRDefault="00E458B4">
      <w:pPr>
        <w:spacing w:line="500" w:lineRule="exact"/>
        <w:rPr>
          <w:rFonts w:ascii="宋体" w:eastAsia="宋体" w:hAnsi="宋体"/>
          <w:sz w:val="24"/>
          <w:szCs w:val="24"/>
        </w:rPr>
      </w:pPr>
      <w:r>
        <w:rPr>
          <w:rFonts w:ascii="宋体" w:eastAsia="宋体" w:hAnsi="宋体" w:hint="eastAsia"/>
          <w:b/>
          <w:sz w:val="24"/>
          <w:szCs w:val="24"/>
        </w:rPr>
        <w:t>★</w:t>
      </w:r>
      <w:r>
        <w:rPr>
          <w:rFonts w:ascii="宋体" w:eastAsia="宋体" w:hAnsi="宋体" w:hint="eastAsia"/>
          <w:sz w:val="24"/>
          <w:szCs w:val="24"/>
        </w:rPr>
        <w:t>1、供应商请响应以下</w:t>
      </w:r>
      <w:r>
        <w:rPr>
          <w:rFonts w:ascii="宋体" w:eastAsia="宋体" w:hAnsi="宋体" w:hint="eastAsia"/>
          <w:color w:val="000000" w:themeColor="text1"/>
          <w:sz w:val="24"/>
          <w:szCs w:val="24"/>
        </w:rPr>
        <w:t>58个</w:t>
      </w:r>
      <w:r>
        <w:rPr>
          <w:rFonts w:ascii="宋体" w:eastAsia="宋体" w:hAnsi="宋体" w:hint="eastAsia"/>
          <w:sz w:val="24"/>
          <w:szCs w:val="24"/>
        </w:rPr>
        <w:t>检测项目并对项目进行报价，</w:t>
      </w:r>
      <w:r>
        <w:rPr>
          <w:rFonts w:ascii="宋体" w:hAnsi="宋体" w:cs="宋体" w:hint="eastAsia"/>
          <w:color w:val="000000"/>
          <w:szCs w:val="24"/>
        </w:rPr>
        <w:t>报出结算折扣率、项目</w:t>
      </w:r>
      <w:r>
        <w:rPr>
          <w:rFonts w:ascii="宋体" w:hAnsi="宋体" w:cs="宋体" w:hint="eastAsia"/>
          <w:color w:val="000000"/>
          <w:szCs w:val="24"/>
        </w:rPr>
        <w:lastRenderedPageBreak/>
        <w:t>收费单价，</w:t>
      </w:r>
      <w:r>
        <w:rPr>
          <w:rFonts w:ascii="宋体" w:eastAsia="宋体" w:hAnsi="宋体" w:hint="eastAsia"/>
          <w:sz w:val="24"/>
          <w:szCs w:val="24"/>
        </w:rPr>
        <w:t>同时列明是否能响应采购人提供的检测方法学和报告时限，如不响应需列明可提供同类检测项目名称及报价。</w:t>
      </w:r>
    </w:p>
    <w:p w:rsidR="0026390C" w:rsidRDefault="00E458B4">
      <w:pPr>
        <w:spacing w:line="500" w:lineRule="exact"/>
        <w:rPr>
          <w:rFonts w:ascii="宋体" w:eastAsia="宋体" w:hAnsi="宋体"/>
          <w:sz w:val="24"/>
          <w:szCs w:val="24"/>
        </w:rPr>
      </w:pPr>
      <w:r>
        <w:rPr>
          <w:rFonts w:ascii="宋体" w:eastAsia="宋体" w:hAnsi="宋体" w:hint="eastAsia"/>
          <w:sz w:val="24"/>
          <w:szCs w:val="24"/>
        </w:rPr>
        <w:t>2、委托检验项目服务清单（采购标的清单）如下：</w:t>
      </w:r>
    </w:p>
    <w:tbl>
      <w:tblPr>
        <w:tblW w:w="9297" w:type="dxa"/>
        <w:tblInd w:w="93" w:type="dxa"/>
        <w:tblLayout w:type="fixed"/>
        <w:tblLook w:val="04A0" w:firstRow="1" w:lastRow="0" w:firstColumn="1" w:lastColumn="0" w:noHBand="0" w:noVBand="1"/>
      </w:tblPr>
      <w:tblGrid>
        <w:gridCol w:w="680"/>
        <w:gridCol w:w="1871"/>
        <w:gridCol w:w="964"/>
        <w:gridCol w:w="1587"/>
        <w:gridCol w:w="680"/>
        <w:gridCol w:w="1701"/>
        <w:gridCol w:w="907"/>
        <w:gridCol w:w="907"/>
      </w:tblGrid>
      <w:tr w:rsidR="0026390C" w:rsidTr="00E645F0">
        <w:trPr>
          <w:trHeight w:val="807"/>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spacing w:line="500" w:lineRule="exact"/>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序号</w:t>
            </w:r>
          </w:p>
        </w:tc>
        <w:tc>
          <w:tcPr>
            <w:tcW w:w="1871" w:type="dxa"/>
            <w:tcBorders>
              <w:top w:val="single" w:sz="4" w:space="0" w:color="auto"/>
              <w:left w:val="nil"/>
              <w:bottom w:val="single" w:sz="4" w:space="0" w:color="auto"/>
              <w:right w:val="single" w:sz="4" w:space="0" w:color="auto"/>
            </w:tcBorders>
            <w:shd w:val="clear" w:color="auto" w:fill="auto"/>
            <w:vAlign w:val="center"/>
          </w:tcPr>
          <w:p w:rsidR="0026390C" w:rsidRDefault="00E458B4">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检测项目名称</w:t>
            </w:r>
          </w:p>
        </w:tc>
        <w:tc>
          <w:tcPr>
            <w:tcW w:w="964" w:type="dxa"/>
            <w:tcBorders>
              <w:top w:val="single" w:sz="4" w:space="0" w:color="auto"/>
              <w:left w:val="nil"/>
              <w:bottom w:val="single" w:sz="4" w:space="0" w:color="auto"/>
              <w:right w:val="single" w:sz="4" w:space="0" w:color="auto"/>
            </w:tcBorders>
            <w:shd w:val="clear" w:color="auto" w:fill="auto"/>
            <w:vAlign w:val="center"/>
          </w:tcPr>
          <w:p w:rsidR="0026390C" w:rsidRDefault="00E458B4">
            <w:pPr>
              <w:widowControl/>
              <w:jc w:val="center"/>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检测方法学</w:t>
            </w:r>
          </w:p>
        </w:tc>
        <w:tc>
          <w:tcPr>
            <w:tcW w:w="1587" w:type="dxa"/>
            <w:tcBorders>
              <w:top w:val="single" w:sz="4" w:space="0" w:color="auto"/>
              <w:left w:val="nil"/>
              <w:bottom w:val="single" w:sz="4" w:space="0" w:color="auto"/>
              <w:right w:val="single" w:sz="4" w:space="0" w:color="auto"/>
            </w:tcBorders>
            <w:shd w:val="clear" w:color="auto" w:fill="auto"/>
            <w:vAlign w:val="center"/>
          </w:tcPr>
          <w:p w:rsidR="0026390C" w:rsidRDefault="00E458B4">
            <w:pPr>
              <w:widowControl/>
              <w:spacing w:line="500" w:lineRule="exact"/>
              <w:jc w:val="left"/>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报告时限</w:t>
            </w:r>
          </w:p>
        </w:tc>
        <w:tc>
          <w:tcPr>
            <w:tcW w:w="680" w:type="dxa"/>
            <w:tcBorders>
              <w:top w:val="single" w:sz="4" w:space="0" w:color="auto"/>
              <w:left w:val="nil"/>
              <w:bottom w:val="single" w:sz="4" w:space="0" w:color="auto"/>
              <w:right w:val="single" w:sz="4" w:space="0" w:color="auto"/>
            </w:tcBorders>
            <w:shd w:val="clear" w:color="auto" w:fill="auto"/>
            <w:vAlign w:val="center"/>
          </w:tcPr>
          <w:p w:rsidR="0026390C" w:rsidRDefault="00E458B4">
            <w:pPr>
              <w:widowControl/>
              <w:spacing w:line="500" w:lineRule="exact"/>
              <w:jc w:val="center"/>
              <w:rPr>
                <w:rFonts w:ascii="Times New Roman" w:eastAsia="宋体" w:hAnsi="Times New Roman" w:cs="Times New Roman"/>
                <w:b/>
                <w:bCs/>
                <w:kern w:val="0"/>
                <w:szCs w:val="21"/>
              </w:rPr>
            </w:pPr>
            <w:r>
              <w:rPr>
                <w:rFonts w:ascii="Times New Roman" w:eastAsia="宋体" w:hAnsi="Times New Roman" w:cs="Times New Roman"/>
                <w:b/>
                <w:bCs/>
                <w:kern w:val="0"/>
                <w:szCs w:val="21"/>
              </w:rPr>
              <w:t>是否响应</w:t>
            </w:r>
          </w:p>
        </w:tc>
        <w:tc>
          <w:tcPr>
            <w:tcW w:w="1701" w:type="dxa"/>
            <w:tcBorders>
              <w:top w:val="single" w:sz="4" w:space="0" w:color="auto"/>
              <w:left w:val="nil"/>
              <w:bottom w:val="single" w:sz="4" w:space="0" w:color="auto"/>
              <w:right w:val="single" w:sz="4" w:space="0" w:color="auto"/>
            </w:tcBorders>
            <w:shd w:val="clear" w:color="auto" w:fill="auto"/>
            <w:vAlign w:val="center"/>
          </w:tcPr>
          <w:p w:rsidR="0026390C" w:rsidRDefault="00E458B4">
            <w:pPr>
              <w:widowControl/>
              <w:jc w:val="center"/>
              <w:rPr>
                <w:rFonts w:ascii="Times New Roman" w:eastAsia="宋体" w:hAnsi="Times New Roman" w:cs="Times New Roman"/>
                <w:b/>
                <w:bCs/>
                <w:kern w:val="0"/>
                <w:szCs w:val="21"/>
              </w:rPr>
            </w:pPr>
            <w:r>
              <w:rPr>
                <w:rFonts w:ascii="宋体" w:eastAsia="宋体" w:hAnsi="宋体" w:cs="宋体" w:hint="eastAsia"/>
                <w:b/>
                <w:bCs/>
                <w:kern w:val="0"/>
                <w:szCs w:val="21"/>
              </w:rPr>
              <w:t>可提供同类检测项目名称（检测内容细项）</w:t>
            </w:r>
          </w:p>
        </w:tc>
        <w:tc>
          <w:tcPr>
            <w:tcW w:w="907" w:type="dxa"/>
            <w:tcBorders>
              <w:top w:val="single" w:sz="4" w:space="0" w:color="auto"/>
              <w:left w:val="nil"/>
              <w:bottom w:val="single" w:sz="4" w:space="0" w:color="auto"/>
              <w:right w:val="single" w:sz="4" w:space="0" w:color="auto"/>
            </w:tcBorders>
            <w:shd w:val="clear" w:color="auto" w:fill="auto"/>
            <w:vAlign w:val="center"/>
          </w:tcPr>
          <w:p w:rsidR="0026390C" w:rsidRDefault="00E458B4">
            <w:pPr>
              <w:widowControl/>
              <w:jc w:val="center"/>
              <w:rPr>
                <w:rFonts w:ascii="Times New Roman" w:eastAsia="宋体" w:hAnsi="Times New Roman" w:cs="Times New Roman"/>
                <w:b/>
                <w:bCs/>
                <w:kern w:val="0"/>
                <w:szCs w:val="21"/>
              </w:rPr>
            </w:pPr>
            <w:r>
              <w:rPr>
                <w:rFonts w:ascii="Times New Roman" w:eastAsia="宋体" w:hAnsi="Times New Roman" w:cs="Times New Roman" w:hint="eastAsia"/>
                <w:b/>
                <w:bCs/>
                <w:kern w:val="0"/>
                <w:szCs w:val="21"/>
              </w:rPr>
              <w:t>项目收费单价（元）</w:t>
            </w:r>
          </w:p>
        </w:tc>
        <w:tc>
          <w:tcPr>
            <w:tcW w:w="907" w:type="dxa"/>
            <w:tcBorders>
              <w:top w:val="single" w:sz="4" w:space="0" w:color="auto"/>
              <w:left w:val="nil"/>
              <w:bottom w:val="single" w:sz="4" w:space="0" w:color="auto"/>
              <w:right w:val="single" w:sz="4" w:space="0" w:color="auto"/>
            </w:tcBorders>
          </w:tcPr>
          <w:p w:rsidR="0026390C" w:rsidRDefault="00E458B4">
            <w:pPr>
              <w:widowControl/>
              <w:jc w:val="center"/>
              <w:rPr>
                <w:rFonts w:ascii="Times New Roman" w:eastAsia="宋体" w:hAnsi="Times New Roman" w:cs="Times New Roman"/>
                <w:b/>
                <w:bCs/>
                <w:kern w:val="0"/>
                <w:szCs w:val="21"/>
              </w:rPr>
            </w:pPr>
            <w:r>
              <w:rPr>
                <w:rFonts w:ascii="宋体" w:hAnsi="宋体" w:cs="宋体" w:hint="eastAsia"/>
                <w:color w:val="000000"/>
                <w:szCs w:val="24"/>
              </w:rPr>
              <w:t>结算折扣率</w:t>
            </w: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幽门螺杆菌23srRNA基因与gyrA基因突变检测</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PCR</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≤3个工作日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2</w:t>
            </w:r>
          </w:p>
        </w:tc>
        <w:tc>
          <w:tcPr>
            <w:tcW w:w="1871"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实体瘤378基因高通量测序ctDNA检测</w:t>
            </w:r>
          </w:p>
        </w:tc>
        <w:tc>
          <w:tcPr>
            <w:tcW w:w="964" w:type="dxa"/>
            <w:tcBorders>
              <w:top w:val="single" w:sz="4" w:space="0" w:color="auto"/>
              <w:left w:val="nil"/>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nil"/>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≤10个工作日</w:t>
            </w:r>
          </w:p>
        </w:tc>
        <w:tc>
          <w:tcPr>
            <w:tcW w:w="680" w:type="dxa"/>
            <w:tcBorders>
              <w:top w:val="single" w:sz="4" w:space="0" w:color="auto"/>
              <w:left w:val="nil"/>
              <w:bottom w:val="single" w:sz="4" w:space="0" w:color="auto"/>
              <w:right w:val="single" w:sz="4" w:space="0" w:color="auto"/>
            </w:tcBorders>
            <w:shd w:val="clear" w:color="auto" w:fill="auto"/>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nil"/>
              <w:bottom w:val="single" w:sz="4" w:space="0" w:color="auto"/>
              <w:right w:val="single" w:sz="4" w:space="0" w:color="auto"/>
            </w:tcBorders>
            <w:shd w:val="clear" w:color="auto" w:fill="auto"/>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nil"/>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3</w:t>
            </w:r>
          </w:p>
        </w:tc>
        <w:tc>
          <w:tcPr>
            <w:tcW w:w="1871"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实体瘤378基因高通量测序组织检测</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≤10个工作日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4</w:t>
            </w:r>
          </w:p>
        </w:tc>
        <w:tc>
          <w:tcPr>
            <w:tcW w:w="1871" w:type="dxa"/>
            <w:tcBorders>
              <w:top w:val="single" w:sz="4" w:space="0" w:color="auto"/>
              <w:left w:val="nil"/>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实体瘤687基因高通量测序（ctDNA）</w:t>
            </w:r>
          </w:p>
        </w:tc>
        <w:tc>
          <w:tcPr>
            <w:tcW w:w="964" w:type="dxa"/>
            <w:tcBorders>
              <w:top w:val="single" w:sz="4" w:space="0" w:color="auto"/>
              <w:left w:val="nil"/>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nil"/>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≤10个工作日</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nil"/>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nil"/>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5</w:t>
            </w:r>
          </w:p>
        </w:tc>
        <w:tc>
          <w:tcPr>
            <w:tcW w:w="1871"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实体瘤687基因高通量测序（组织版）</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≤10个工作日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6</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实体瘤223基因检测（ctDNA版）</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≤10个工作日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7</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实体瘤223基因检测（组织版）</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szCs w:val="21"/>
              </w:rPr>
            </w:pPr>
            <w:r>
              <w:rPr>
                <w:rFonts w:ascii="宋体" w:eastAsia="宋体" w:hAnsi="宋体" w:cs="宋体" w:hint="eastAsia"/>
                <w:color w:val="000000"/>
                <w:kern w:val="0"/>
                <w:sz w:val="24"/>
                <w:szCs w:val="24"/>
                <w:lang w:bidi="ar"/>
              </w:rPr>
              <w:t>≤10个工作日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8</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Style w:val="font21"/>
                <w:rFonts w:ascii="Times New Roman" w:hAnsi="Times New Roman" w:cs="Times New Roman" w:hint="default"/>
                <w:sz w:val="21"/>
                <w:szCs w:val="21"/>
                <w:lang w:bidi="ar"/>
              </w:rPr>
            </w:pPr>
            <w:r>
              <w:rPr>
                <w:rFonts w:ascii="宋体" w:eastAsia="宋体" w:hAnsi="宋体" w:cs="宋体" w:hint="eastAsia"/>
                <w:color w:val="000000"/>
                <w:kern w:val="0"/>
                <w:sz w:val="24"/>
                <w:szCs w:val="24"/>
                <w:lang w:bidi="ar"/>
              </w:rPr>
              <w:t>Mammaprint乳腺癌复发风险评估</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≤9个工作日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9</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肿瘤组织起源基因检测（90基因检测）</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RT-PCR</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≤7个自然日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10</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肺癌MRD检测（组织+血液版）</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≤10个自然日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子宫内膜癌分子分型</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12</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脑胶质瘤临床12项基因检测（组织版）</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≤10自然日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lastRenderedPageBreak/>
              <w:t>13</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分子残留病灶检测（MRD)</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≤9个工作日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14</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微卫星不稳定基因检测</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荧光pcr-毛细管电泳法</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15</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七氟醚-瑞芬太尼疗效预测</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QPCR</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16</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H型高血压/脑卒中遗传风险评估</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QPCR</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17</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静脉血栓发病风险检测</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QPCR</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18</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基因重排</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荧光pcr-毛细管电泳法</w:t>
            </w:r>
          </w:p>
        </w:tc>
        <w:tc>
          <w:tcPr>
            <w:tcW w:w="1587" w:type="dxa"/>
            <w:tcBorders>
              <w:top w:val="single" w:sz="4" w:space="0" w:color="auto"/>
              <w:left w:val="single" w:sz="4" w:space="0" w:color="auto"/>
              <w:bottom w:val="single" w:sz="4" w:space="0" w:color="auto"/>
              <w:right w:val="single" w:sz="4" w:space="0" w:color="auto"/>
            </w:tcBorders>
            <w:shd w:val="clear" w:color="auto" w:fill="auto"/>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≤3个工作日</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19</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结核分枝杆菌复合群核酸检测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PCR</w:t>
            </w:r>
          </w:p>
        </w:tc>
        <w:tc>
          <w:tcPr>
            <w:tcW w:w="1587" w:type="dxa"/>
            <w:tcBorders>
              <w:top w:val="single" w:sz="4" w:space="0" w:color="auto"/>
              <w:left w:val="single" w:sz="4" w:space="0" w:color="auto"/>
              <w:bottom w:val="single" w:sz="4" w:space="0" w:color="auto"/>
              <w:right w:val="single" w:sz="4" w:space="0" w:color="auto"/>
            </w:tcBorders>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20</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HPV自动化检测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PCR</w:t>
            </w:r>
          </w:p>
        </w:tc>
        <w:tc>
          <w:tcPr>
            <w:tcW w:w="1587" w:type="dxa"/>
            <w:tcBorders>
              <w:top w:val="single" w:sz="4" w:space="0" w:color="auto"/>
              <w:left w:val="single" w:sz="4" w:space="0" w:color="auto"/>
              <w:bottom w:val="single" w:sz="4" w:space="0" w:color="auto"/>
              <w:right w:val="single" w:sz="4" w:space="0" w:color="auto"/>
            </w:tcBorders>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≤3个工作日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21</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甲状腺癌8基因检测（PCR）</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PCR</w:t>
            </w:r>
          </w:p>
        </w:tc>
        <w:tc>
          <w:tcPr>
            <w:tcW w:w="1587" w:type="dxa"/>
            <w:tcBorders>
              <w:top w:val="single" w:sz="4" w:space="0" w:color="auto"/>
              <w:left w:val="single" w:sz="4" w:space="0" w:color="auto"/>
              <w:bottom w:val="single" w:sz="4" w:space="0" w:color="auto"/>
              <w:right w:val="single" w:sz="4" w:space="0" w:color="auto"/>
            </w:tcBorders>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≤3个工作日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22</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甲状腺癌18基因检测（NGS）</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tcPr>
          <w:p w:rsidR="0026390C" w:rsidRDefault="00E458B4">
            <w:pPr>
              <w:widowControl/>
              <w:jc w:val="center"/>
              <w:textAlignment w:val="top"/>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23</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同源重组修复（HRR）相关基因检测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24</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肺癌37基因个体化用药检测（组织版）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25</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肺癌37基因个体化用药检测（血液版）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26</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结直肠癌42基因个体化用药检测（组织版）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27</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结直肠癌42基因个体化用药检测（血液版）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lastRenderedPageBreak/>
              <w:t>28</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胃癌/食管癌42基因个体化用药基因检测（组织版）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29</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乳腺癌61基因个体化用药检测报告（组织版）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30</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子宫内膜癌61基因个体化用药检测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31</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妇科肿瘤61基因个体化用药检测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32</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胃肠道间质瘤42基因个体化用药检测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33</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前列腺癌58基因个体化用药检测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34</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胰腺癌58基因个体化用药检测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35</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黑色素瘤14基因个体化用药检测(血液版)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36</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黑色素瘤14基因个体化用药检测(组织版)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37</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遗传性消化道肿瘤26基因检测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38</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实体瘤化疗用药基因检测（高通量测序法）</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39</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RNF180和Septin9基因甲基化联合检测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荧光PCR法</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40</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SHOX2/RASSF1A/PTGER4基因甲基化检测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PCR荧光探针法</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lastRenderedPageBreak/>
              <w:t>41</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人SHOX2、RASSF1A基因甲基化DNA检测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PCR荧光探针法</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42</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人Twist1基因甲基化检测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荧光PCR法</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43</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人ASTN1、DLX1、ITGA4、RXFP3、SOX17、ZNF671基因甲基化检测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荧光PCR法</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44</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486基因全景癌症相关基因检测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45</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泛实体瘤117个融合基因</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46</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中枢神经系统肿瘤494基因全景检测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47</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软组织与骨肿瘤506基因全景检测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48</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软组织与骨肿瘤201基因融合检测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49</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HRDscore+BRCA1/2+HRR全覆盖，精准指导用药方案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50</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实体瘤769基因检测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4"/>
                <w:szCs w:val="21"/>
              </w:rPr>
            </w:pPr>
            <w:r>
              <w:rPr>
                <w:rFonts w:ascii="宋体" w:eastAsia="宋体" w:hAnsi="宋体" w:cs="宋体" w:hint="eastAsia"/>
                <w:color w:val="000000"/>
                <w:kern w:val="0"/>
                <w:sz w:val="24"/>
                <w:szCs w:val="24"/>
                <w:lang w:bidi="ar"/>
              </w:rPr>
              <w:t>51</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融合基因检测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52</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阳性位点验证（1个位点）</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脱氧核糖核酸(DNA)测序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5-7工作日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53</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7大癌种早期筛查检测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20个自然日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lastRenderedPageBreak/>
              <w:t>54</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实体瘤精准治疗1267基因检测+PD-L1表达检测+CD8+TIL检测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NGS+IHC</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7-9 个自然日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55</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实体瘤精准治疗1267基因检测+PD-L1表达检测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NGS+IHC</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6-8 个自然日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56</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多色免疫荧光（六标七色）检测</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m IF</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14 个自然日内</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57</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实体瘤601基因检测（ctDNA版）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7-10个工作日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r w:rsidR="0026390C" w:rsidTr="00E645F0">
        <w:trPr>
          <w:trHeight w:val="285"/>
        </w:trPr>
        <w:tc>
          <w:tcPr>
            <w:tcW w:w="680"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宋体" w:eastAsia="宋体" w:hAnsi="宋体" w:cs="宋体"/>
                <w:color w:val="000000"/>
                <w:kern w:val="0"/>
                <w:sz w:val="24"/>
                <w:szCs w:val="24"/>
                <w:lang w:bidi="ar"/>
              </w:rPr>
            </w:pPr>
            <w:r>
              <w:rPr>
                <w:rFonts w:ascii="宋体" w:eastAsia="宋体" w:hAnsi="宋体" w:cs="宋体" w:hint="eastAsia"/>
                <w:color w:val="000000"/>
                <w:kern w:val="0"/>
                <w:sz w:val="24"/>
                <w:szCs w:val="24"/>
                <w:lang w:bidi="ar"/>
              </w:rPr>
              <w:t>58</w:t>
            </w:r>
          </w:p>
        </w:tc>
        <w:tc>
          <w:tcPr>
            <w:tcW w:w="1871"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实体瘤601因检测（组织版）</w:t>
            </w:r>
          </w:p>
        </w:tc>
        <w:tc>
          <w:tcPr>
            <w:tcW w:w="964"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color w:val="000000"/>
                <w:kern w:val="0"/>
                <w:sz w:val="24"/>
                <w:szCs w:val="24"/>
                <w:lang w:bidi="ar"/>
              </w:rPr>
              <w:t>高通量基因测序</w:t>
            </w:r>
          </w:p>
        </w:tc>
        <w:tc>
          <w:tcPr>
            <w:tcW w:w="1587" w:type="dxa"/>
            <w:tcBorders>
              <w:top w:val="single" w:sz="4" w:space="0" w:color="auto"/>
              <w:left w:val="single" w:sz="4" w:space="0" w:color="auto"/>
              <w:bottom w:val="single" w:sz="4" w:space="0" w:color="auto"/>
              <w:right w:val="single" w:sz="4" w:space="0" w:color="auto"/>
            </w:tcBorders>
            <w:vAlign w:val="center"/>
          </w:tcPr>
          <w:p w:rsidR="0026390C" w:rsidRDefault="00E458B4">
            <w:pPr>
              <w:widowControl/>
              <w:jc w:val="center"/>
              <w:textAlignment w:val="center"/>
              <w:rPr>
                <w:rFonts w:ascii="Times New Roman" w:eastAsia="宋体" w:hAnsi="Times New Roman" w:cs="Times New Roman"/>
                <w:w w:val="110"/>
                <w:szCs w:val="21"/>
              </w:rPr>
            </w:pPr>
            <w:r>
              <w:rPr>
                <w:rFonts w:ascii="宋体" w:eastAsia="宋体" w:hAnsi="宋体" w:cs="宋体" w:hint="eastAsia"/>
                <w:color w:val="000000"/>
                <w:kern w:val="0"/>
                <w:sz w:val="24"/>
                <w:szCs w:val="24"/>
                <w:lang w:bidi="ar"/>
              </w:rPr>
              <w:t>7-10个工作日</w:t>
            </w:r>
          </w:p>
        </w:tc>
        <w:tc>
          <w:tcPr>
            <w:tcW w:w="680"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vAlign w:val="center"/>
          </w:tcPr>
          <w:p w:rsidR="0026390C" w:rsidRDefault="0026390C">
            <w:pPr>
              <w:jc w:val="center"/>
              <w:rPr>
                <w:rFonts w:ascii="Times New Roman" w:eastAsia="宋体" w:hAnsi="Times New Roman" w:cs="Times New Roman"/>
                <w:szCs w:val="21"/>
              </w:rPr>
            </w:pPr>
          </w:p>
        </w:tc>
        <w:tc>
          <w:tcPr>
            <w:tcW w:w="907" w:type="dxa"/>
            <w:tcBorders>
              <w:top w:val="single" w:sz="4" w:space="0" w:color="auto"/>
              <w:left w:val="single" w:sz="4" w:space="0" w:color="auto"/>
              <w:bottom w:val="single" w:sz="4" w:space="0" w:color="auto"/>
              <w:right w:val="single" w:sz="4" w:space="0" w:color="auto"/>
            </w:tcBorders>
          </w:tcPr>
          <w:p w:rsidR="0026390C" w:rsidRDefault="0026390C">
            <w:pPr>
              <w:jc w:val="center"/>
              <w:rPr>
                <w:rFonts w:ascii="Times New Roman" w:eastAsia="宋体" w:hAnsi="Times New Roman" w:cs="Times New Roman"/>
                <w:szCs w:val="21"/>
              </w:rPr>
            </w:pPr>
          </w:p>
        </w:tc>
      </w:tr>
    </w:tbl>
    <w:p w:rsidR="0026390C" w:rsidRDefault="00E458B4">
      <w:pPr>
        <w:spacing w:line="500" w:lineRule="exact"/>
        <w:rPr>
          <w:rFonts w:ascii="宋体" w:eastAsia="宋体" w:hAnsi="宋体"/>
          <w:b/>
          <w:bCs/>
          <w:sz w:val="24"/>
          <w:szCs w:val="24"/>
        </w:rPr>
      </w:pPr>
      <w:r>
        <w:rPr>
          <w:rFonts w:ascii="宋体" w:eastAsia="宋体" w:hAnsi="宋体" w:hint="eastAsia"/>
          <w:b/>
          <w:bCs/>
          <w:sz w:val="24"/>
          <w:szCs w:val="24"/>
        </w:rPr>
        <w:t>（二）、委托检验服务特殊要求：</w:t>
      </w:r>
    </w:p>
    <w:p w:rsidR="0026390C" w:rsidRDefault="00E458B4">
      <w:pPr>
        <w:pStyle w:val="TableParagraph"/>
        <w:numPr>
          <w:ilvl w:val="0"/>
          <w:numId w:val="3"/>
        </w:numPr>
        <w:tabs>
          <w:tab w:val="left" w:pos="235"/>
        </w:tabs>
        <w:spacing w:before="84" w:line="360" w:lineRule="auto"/>
        <w:rPr>
          <w:rFonts w:ascii="宋体" w:eastAsia="宋体" w:hAnsi="宋体"/>
          <w:szCs w:val="24"/>
        </w:rPr>
      </w:pPr>
      <w:r>
        <w:rPr>
          <w:rFonts w:ascii="宋体" w:eastAsia="宋体" w:hAnsi="宋体" w:hint="eastAsia"/>
          <w:szCs w:val="24"/>
        </w:rPr>
        <w:t>为满足合同期内临床检验业务的新增需求，采购人可根据临床需求在现有清单基础上增加项目数量。</w:t>
      </w:r>
    </w:p>
    <w:p w:rsidR="0026390C" w:rsidRDefault="00E458B4">
      <w:pPr>
        <w:pStyle w:val="TableParagraph"/>
        <w:numPr>
          <w:ilvl w:val="0"/>
          <w:numId w:val="3"/>
        </w:numPr>
        <w:tabs>
          <w:tab w:val="left" w:pos="235"/>
        </w:tabs>
        <w:spacing w:before="43" w:line="360" w:lineRule="auto"/>
        <w:rPr>
          <w:rFonts w:ascii="宋体" w:eastAsia="宋体" w:hAnsi="宋体"/>
          <w:szCs w:val="24"/>
        </w:rPr>
      </w:pPr>
      <w:r>
        <w:rPr>
          <w:rFonts w:ascii="宋体" w:eastAsia="宋体" w:hAnsi="宋体" w:hint="eastAsia"/>
          <w:szCs w:val="24"/>
        </w:rPr>
        <w:t>某些项目检测技术成熟及标本量达到可本地化开展后，采购人有权决定是否继续外送。</w:t>
      </w:r>
    </w:p>
    <w:p w:rsidR="0026390C" w:rsidRDefault="00E458B4">
      <w:pPr>
        <w:pStyle w:val="TableParagraph"/>
        <w:numPr>
          <w:ilvl w:val="0"/>
          <w:numId w:val="3"/>
        </w:numPr>
        <w:tabs>
          <w:tab w:val="left" w:pos="235"/>
        </w:tabs>
        <w:spacing w:before="42" w:line="360" w:lineRule="auto"/>
        <w:rPr>
          <w:rFonts w:ascii="宋体" w:eastAsia="宋体" w:hAnsi="宋体"/>
          <w:szCs w:val="24"/>
        </w:rPr>
      </w:pPr>
      <w:r>
        <w:rPr>
          <w:rFonts w:ascii="宋体" w:eastAsia="宋体" w:hAnsi="宋体" w:hint="eastAsia"/>
          <w:szCs w:val="24"/>
        </w:rPr>
        <w:t>相关收费标准物价部门作出调整的必须进行相应调整。</w:t>
      </w:r>
    </w:p>
    <w:p w:rsidR="0026390C" w:rsidRDefault="00E458B4">
      <w:pPr>
        <w:pStyle w:val="TableParagraph"/>
        <w:numPr>
          <w:ilvl w:val="0"/>
          <w:numId w:val="3"/>
        </w:numPr>
        <w:tabs>
          <w:tab w:val="left" w:pos="344"/>
        </w:tabs>
        <w:spacing w:before="43" w:line="360" w:lineRule="auto"/>
        <w:ind w:left="82" w:right="141" w:firstLine="0"/>
        <w:rPr>
          <w:rFonts w:ascii="宋体" w:eastAsia="宋体" w:hAnsi="宋体"/>
          <w:szCs w:val="24"/>
        </w:rPr>
      </w:pPr>
      <w:r>
        <w:rPr>
          <w:rFonts w:ascii="宋体" w:eastAsia="宋体" w:hAnsi="宋体" w:hint="eastAsia"/>
          <w:szCs w:val="24"/>
        </w:rPr>
        <w:t>供应商承诺在合同期内包括但不限于在技术、设备、学术上支持采购人科研立项及技术发展，并为采购人提供科研检测服务（提供承诺函，并加盖公章）。</w:t>
      </w:r>
    </w:p>
    <w:p w:rsidR="0026390C" w:rsidRDefault="00E458B4">
      <w:pPr>
        <w:pStyle w:val="TableParagraph"/>
        <w:numPr>
          <w:ilvl w:val="0"/>
          <w:numId w:val="3"/>
        </w:numPr>
        <w:tabs>
          <w:tab w:val="left" w:pos="344"/>
        </w:tabs>
        <w:spacing w:before="43" w:line="360" w:lineRule="auto"/>
        <w:ind w:left="82" w:right="141" w:firstLine="0"/>
        <w:rPr>
          <w:rFonts w:ascii="宋体" w:eastAsia="宋体" w:hAnsi="宋体"/>
          <w:szCs w:val="24"/>
        </w:rPr>
      </w:pPr>
      <w:r>
        <w:rPr>
          <w:rFonts w:ascii="宋体" w:eastAsia="宋体" w:hAnsi="宋体" w:hint="eastAsia"/>
          <w:szCs w:val="24"/>
        </w:rPr>
        <w:t>对以上要求因存在不确定性，供应商需充分考虑经营风险。</w:t>
      </w:r>
    </w:p>
    <w:p w:rsidR="0026390C" w:rsidRDefault="00E458B4">
      <w:pPr>
        <w:spacing w:line="500" w:lineRule="exact"/>
        <w:rPr>
          <w:rFonts w:ascii="宋体" w:eastAsia="宋体" w:hAnsi="宋体"/>
          <w:b/>
          <w:bCs/>
          <w:sz w:val="24"/>
          <w:szCs w:val="24"/>
        </w:rPr>
      </w:pPr>
      <w:r>
        <w:rPr>
          <w:rFonts w:ascii="宋体" w:eastAsia="宋体" w:hAnsi="宋体" w:hint="eastAsia"/>
          <w:b/>
          <w:bCs/>
          <w:sz w:val="24"/>
          <w:szCs w:val="24"/>
        </w:rPr>
        <w:t>（三）、供应商技术要求：</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1.实验室要求：</w:t>
      </w:r>
    </w:p>
    <w:p w:rsidR="0026390C" w:rsidRDefault="00E458B4">
      <w:pPr>
        <w:pStyle w:val="TableParagraph"/>
        <w:spacing w:before="43" w:line="360" w:lineRule="auto"/>
        <w:ind w:left="82" w:right="105"/>
        <w:rPr>
          <w:rFonts w:ascii="宋体" w:eastAsia="宋体" w:hAnsi="宋体"/>
          <w:szCs w:val="24"/>
        </w:rPr>
      </w:pPr>
      <w:r>
        <w:rPr>
          <w:rFonts w:ascii="宋体" w:eastAsia="宋体" w:hAnsi="宋体" w:hint="eastAsia"/>
          <w:szCs w:val="24"/>
        </w:rPr>
        <w:t>★1.1供应商拥有自己的医学检测实验室，实验室有完善的质量管理体系，提供IS015189或CAP或ISO 17025或ISO9001认证证书作为辅证（提供证明文件复印件）。</w:t>
      </w:r>
    </w:p>
    <w:p w:rsidR="0026390C" w:rsidRDefault="00E458B4">
      <w:pPr>
        <w:pStyle w:val="TableParagraph"/>
        <w:spacing w:before="1" w:line="360" w:lineRule="auto"/>
        <w:ind w:left="82" w:right="171"/>
        <w:rPr>
          <w:rFonts w:ascii="宋体" w:eastAsia="宋体" w:hAnsi="宋体"/>
          <w:szCs w:val="24"/>
        </w:rPr>
      </w:pPr>
      <w:r>
        <w:rPr>
          <w:rFonts w:ascii="宋体" w:eastAsia="宋体" w:hAnsi="宋体" w:hint="eastAsia"/>
          <w:szCs w:val="24"/>
        </w:rPr>
        <w:t>★1.2供应商实验室必须具有临床检验中心颁发的临床基因扩增检验实验室技术审核验收合格证书（提供证明文件复印件）。</w:t>
      </w:r>
    </w:p>
    <w:p w:rsidR="0026390C" w:rsidRDefault="00E458B4">
      <w:pPr>
        <w:pStyle w:val="TableParagraph"/>
        <w:spacing w:before="28" w:line="360" w:lineRule="auto"/>
        <w:ind w:left="82"/>
        <w:rPr>
          <w:rFonts w:ascii="宋体" w:eastAsia="宋体" w:hAnsi="宋体"/>
          <w:szCs w:val="24"/>
        </w:rPr>
      </w:pPr>
      <w:r>
        <w:rPr>
          <w:rFonts w:ascii="宋体" w:eastAsia="宋体" w:hAnsi="宋体" w:hint="eastAsia"/>
          <w:szCs w:val="24"/>
        </w:rPr>
        <w:lastRenderedPageBreak/>
        <w:t>1.3有参加省级或以上临床检验中心组织的室间质评（提供室间质评证明文件复印件）。</w:t>
      </w:r>
    </w:p>
    <w:p w:rsidR="0026390C" w:rsidRDefault="00E458B4">
      <w:pPr>
        <w:pStyle w:val="TableParagraph"/>
        <w:spacing w:before="43" w:line="360" w:lineRule="auto"/>
        <w:ind w:left="82" w:right="81"/>
        <w:rPr>
          <w:rFonts w:ascii="宋体" w:eastAsia="宋体" w:hAnsi="宋体"/>
          <w:szCs w:val="24"/>
        </w:rPr>
      </w:pPr>
      <w:r>
        <w:rPr>
          <w:rFonts w:ascii="宋体" w:eastAsia="宋体" w:hAnsi="宋体" w:hint="eastAsia"/>
          <w:szCs w:val="24"/>
        </w:rPr>
        <w:t>1.4供应商实验室须拥有完善的分子诊断技术平台，包括定性PCR、定量PCR、核型分析、荧光原位杂交、二代测序等相关技术平台；具备国家卫健委颁布的高通量基因测序技术临床应用试点单位或具备发改委颁发的“国家基因检测技术应用示范中心”（提供证明文件复印件）。</w:t>
      </w:r>
    </w:p>
    <w:p w:rsidR="0026390C" w:rsidRDefault="00E458B4">
      <w:pPr>
        <w:pStyle w:val="TableParagraph"/>
        <w:spacing w:before="43" w:line="360" w:lineRule="auto"/>
        <w:ind w:left="82" w:right="81"/>
        <w:rPr>
          <w:rFonts w:ascii="宋体" w:eastAsia="宋体" w:hAnsi="宋体"/>
          <w:szCs w:val="24"/>
        </w:rPr>
      </w:pPr>
      <w:r>
        <w:rPr>
          <w:rFonts w:ascii="宋体" w:eastAsia="宋体" w:hAnsi="宋体" w:hint="eastAsia"/>
          <w:szCs w:val="24"/>
        </w:rPr>
        <w:t>1.5供应商保证按国家病理诊断规范进行操作，按照规范流程进行标本保存、运输与检查诊断，并对标本的病理报告承担相应的责任；</w:t>
      </w:r>
    </w:p>
    <w:p w:rsidR="0026390C" w:rsidRDefault="00E458B4">
      <w:pPr>
        <w:pStyle w:val="TableParagraph"/>
        <w:tabs>
          <w:tab w:val="left" w:pos="336"/>
        </w:tabs>
        <w:spacing w:before="84" w:line="360" w:lineRule="auto"/>
        <w:ind w:left="81"/>
        <w:jc w:val="left"/>
        <w:rPr>
          <w:rFonts w:ascii="宋体" w:eastAsia="宋体" w:hAnsi="宋体"/>
          <w:szCs w:val="24"/>
        </w:rPr>
      </w:pPr>
      <w:r>
        <w:rPr>
          <w:rFonts w:ascii="宋体" w:eastAsia="宋体" w:hAnsi="宋体" w:hint="eastAsia"/>
          <w:szCs w:val="24"/>
        </w:rPr>
        <w:t>1.6供应商协助医院进行病理科标准化建设，提升病理业务能力。</w:t>
      </w:r>
    </w:p>
    <w:p w:rsidR="0026390C" w:rsidRDefault="00E458B4">
      <w:pPr>
        <w:pStyle w:val="TableParagraph"/>
        <w:tabs>
          <w:tab w:val="left" w:pos="336"/>
        </w:tabs>
        <w:spacing w:before="43" w:line="360" w:lineRule="auto"/>
        <w:ind w:left="81"/>
        <w:jc w:val="left"/>
        <w:rPr>
          <w:rFonts w:ascii="宋体" w:eastAsia="宋体" w:hAnsi="宋体"/>
          <w:szCs w:val="24"/>
        </w:rPr>
      </w:pPr>
      <w:r>
        <w:rPr>
          <w:rFonts w:ascii="宋体" w:eastAsia="宋体" w:hAnsi="宋体" w:hint="eastAsia"/>
          <w:szCs w:val="24"/>
        </w:rPr>
        <w:t>1.7供应商负责院方病理外送项目临床病理诊断质量控制工作；开展临床病理相关业务培训等。</w:t>
      </w:r>
    </w:p>
    <w:p w:rsidR="0026390C" w:rsidRDefault="00E458B4">
      <w:pPr>
        <w:spacing w:line="360" w:lineRule="auto"/>
        <w:rPr>
          <w:rFonts w:ascii="宋体" w:eastAsia="宋体" w:hAnsi="宋体"/>
          <w:sz w:val="24"/>
          <w:szCs w:val="24"/>
        </w:rPr>
      </w:pPr>
      <w:r>
        <w:rPr>
          <w:rFonts w:ascii="宋体" w:eastAsia="宋体" w:hAnsi="宋体" w:hint="eastAsia"/>
          <w:sz w:val="24"/>
          <w:szCs w:val="24"/>
        </w:rPr>
        <w:t>1.8供应商有能力搭建远程病理会诊平台，完成冰冻切片会诊、疑难病例会诊、远程质量控制、读片交流、远程培训等工作，提升院内病理诊断水平。</w:t>
      </w:r>
    </w:p>
    <w:p w:rsidR="0026390C" w:rsidRDefault="00E458B4">
      <w:pPr>
        <w:spacing w:line="500" w:lineRule="exact"/>
        <w:rPr>
          <w:rFonts w:ascii="宋体" w:eastAsia="宋体" w:hAnsi="宋体"/>
          <w:b/>
          <w:sz w:val="24"/>
          <w:szCs w:val="24"/>
        </w:rPr>
      </w:pPr>
      <w:r>
        <w:rPr>
          <w:rFonts w:ascii="宋体" w:eastAsia="宋体" w:hAnsi="宋体" w:hint="eastAsia"/>
          <w:b/>
          <w:sz w:val="24"/>
          <w:szCs w:val="24"/>
        </w:rPr>
        <w:t>2.技术队伍要求：</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2.技术队伍要求：</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2.1供应商实验室检验人员配备应符合国家相关要求，包括但不限于检验师、病理医师，人员数量、职称、专业可满足检测需求。具备病理医师资格证技术人员不少于10人，其中至少有5名具有中级职称，项目负责人具有副高及以上（副高级）职称。《检测报告》审签人员必须具有副高以上职称。</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2.2供应商在采购人指定的标本交接地点设置驻点岗1个，驻点岗安排1名专职驻点技术员，负责项目采样规范化培训，标本交接、登记、前处理、意外情况处理，报告分发，与医院对接等工作；驻点岗服务时间为周一至周日，8:00-17:30，驻点技术员服从科室排班，与科室现有工作人员的工作融合调度。</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2.3有专人负责用户业务及质量、技术、培训等工作。</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2.4常规设有客服人员负责采购方反馈信息的受理、传达、跟踪处理等工作，以满足售后服务。</w:t>
      </w:r>
    </w:p>
    <w:p w:rsidR="0026390C" w:rsidRDefault="00E458B4">
      <w:pPr>
        <w:spacing w:line="500" w:lineRule="exact"/>
        <w:rPr>
          <w:rFonts w:ascii="宋体" w:eastAsia="宋体" w:hAnsi="宋体"/>
          <w:b/>
          <w:sz w:val="24"/>
          <w:szCs w:val="24"/>
        </w:rPr>
      </w:pPr>
      <w:r>
        <w:rPr>
          <w:rFonts w:ascii="宋体" w:eastAsia="宋体" w:hAnsi="宋体" w:hint="eastAsia"/>
          <w:b/>
          <w:sz w:val="24"/>
          <w:szCs w:val="24"/>
        </w:rPr>
        <w:t>3.信息系统支持：</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lastRenderedPageBreak/>
        <w:t>★3.1供应商有报告系统可与采购人的报告系统对接（包括检验系统和病理系统），对接费用全部由供应商负责，实现检验项目结果传输，方便检验项目的统一管理。供应商负责信息系统对接费用、后期维护、故障处理等，信息系统故障处理响应时间不超过2小时。</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3.2供应商完成检测后数据需与医院检验系统及HIS系统对接，医务人员在HIS系统可以随时调阅外送检验结果；检验报告抬头和格式应为供应商检验报告格式，供应商须保证病人的资料的准确性和检验结果的及时性，并提供系统使用的必要培训与技术支持（提供承诺函）。</w:t>
      </w:r>
    </w:p>
    <w:p w:rsidR="0026390C" w:rsidRDefault="00E458B4">
      <w:pPr>
        <w:pStyle w:val="af1"/>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3.3在提供电子形式的检测结果的同时还需要负责完成与医院自助打印系统对接。</w:t>
      </w:r>
    </w:p>
    <w:p w:rsidR="0026390C" w:rsidRDefault="00E458B4">
      <w:pPr>
        <w:spacing w:line="500" w:lineRule="exact"/>
        <w:rPr>
          <w:rFonts w:ascii="宋体" w:eastAsia="宋体" w:hAnsi="宋体"/>
          <w:sz w:val="24"/>
          <w:szCs w:val="24"/>
        </w:rPr>
      </w:pPr>
      <w:r>
        <w:rPr>
          <w:rFonts w:ascii="宋体" w:eastAsia="宋体" w:hAnsi="宋体" w:hint="eastAsia"/>
          <w:b/>
          <w:sz w:val="24"/>
          <w:szCs w:val="24"/>
        </w:rPr>
        <w:t>4.标本管理与物流系统</w:t>
      </w:r>
    </w:p>
    <w:p w:rsidR="0026390C" w:rsidRDefault="00E458B4">
      <w:pPr>
        <w:pStyle w:val="TableParagraph"/>
        <w:numPr>
          <w:ilvl w:val="1"/>
          <w:numId w:val="4"/>
        </w:numPr>
        <w:tabs>
          <w:tab w:val="left" w:pos="336"/>
        </w:tabs>
        <w:spacing w:before="43" w:line="360" w:lineRule="auto"/>
        <w:ind w:right="81" w:firstLine="0"/>
        <w:rPr>
          <w:rFonts w:ascii="宋体" w:eastAsia="宋体" w:hAnsi="宋体"/>
        </w:rPr>
      </w:pPr>
      <w:r>
        <w:rPr>
          <w:rFonts w:ascii="宋体" w:eastAsia="宋体" w:hAnsi="宋体" w:hint="eastAsia"/>
        </w:rPr>
        <w:t>供应商有医疗物流系统，物流系统应符合《GB/T 28842-2021药品冷链物流运作规范》，保证标本接收、送检运输过程的安全与规范，保证标本的检测前质量，确保运输过程的样品质量和环境安全。</w:t>
      </w:r>
    </w:p>
    <w:p w:rsidR="0026390C" w:rsidRDefault="00E458B4">
      <w:pPr>
        <w:pStyle w:val="TableParagraph"/>
        <w:numPr>
          <w:ilvl w:val="1"/>
          <w:numId w:val="4"/>
        </w:numPr>
        <w:tabs>
          <w:tab w:val="left" w:pos="336"/>
        </w:tabs>
        <w:spacing w:before="43" w:line="360" w:lineRule="auto"/>
        <w:ind w:right="81" w:firstLine="0"/>
        <w:rPr>
          <w:rFonts w:ascii="宋体" w:eastAsia="宋体" w:hAnsi="宋体"/>
        </w:rPr>
      </w:pPr>
      <w:r>
        <w:rPr>
          <w:rFonts w:ascii="宋体" w:eastAsia="宋体" w:hAnsi="宋体" w:hint="eastAsia"/>
        </w:rPr>
        <w:t>供应商有能力提供免费的物流服务，供应商负责在采购人指定的标本交接地点配备标本接收工作站、特殊标本采样管、标本暂存冰箱。</w:t>
      </w:r>
    </w:p>
    <w:p w:rsidR="0026390C" w:rsidRDefault="00E458B4">
      <w:pPr>
        <w:pStyle w:val="TableParagraph"/>
        <w:numPr>
          <w:ilvl w:val="1"/>
          <w:numId w:val="5"/>
        </w:numPr>
        <w:tabs>
          <w:tab w:val="left" w:pos="336"/>
        </w:tabs>
        <w:spacing w:before="84" w:line="360" w:lineRule="auto"/>
        <w:ind w:right="151" w:firstLine="0"/>
        <w:rPr>
          <w:rFonts w:ascii="宋体" w:eastAsia="宋体" w:hAnsi="宋体"/>
        </w:rPr>
      </w:pPr>
      <w:r>
        <w:rPr>
          <w:rFonts w:ascii="宋体" w:eastAsia="宋体" w:hAnsi="宋体" w:hint="eastAsia"/>
        </w:rPr>
        <w:t>供应商根据满足标本检测报告时限的要求，前往采购人指定标本交接地点收取标本，并运输到供应商检测实验室。</w:t>
      </w:r>
    </w:p>
    <w:p w:rsidR="0026390C" w:rsidRDefault="00E458B4">
      <w:pPr>
        <w:pStyle w:val="TableParagraph"/>
        <w:numPr>
          <w:ilvl w:val="1"/>
          <w:numId w:val="5"/>
        </w:numPr>
        <w:tabs>
          <w:tab w:val="left" w:pos="336"/>
        </w:tabs>
        <w:spacing w:before="28" w:line="360" w:lineRule="auto"/>
        <w:ind w:right="81" w:firstLine="0"/>
        <w:rPr>
          <w:rFonts w:ascii="宋体" w:eastAsia="宋体" w:hAnsi="宋体"/>
        </w:rPr>
      </w:pPr>
      <w:r>
        <w:rPr>
          <w:rFonts w:ascii="宋体" w:eastAsia="宋体" w:hAnsi="宋体" w:hint="eastAsia"/>
        </w:rPr>
        <w:t>样本运输要求直立、冷藏、封闭，确保运输过程的样品质量和环境安全。对于需低温冷冻或有特殊要求的样本视具体项目与委托方商定。提供相关方案的介绍说明，提供运输专用容器实物图片、提供全</w:t>
      </w:r>
    </w:p>
    <w:p w:rsidR="0026390C" w:rsidRDefault="00E458B4">
      <w:pPr>
        <w:pStyle w:val="TableParagraph"/>
        <w:spacing w:before="60" w:line="360" w:lineRule="auto"/>
        <w:ind w:left="82"/>
        <w:rPr>
          <w:rFonts w:ascii="宋体" w:eastAsia="宋体" w:hAnsi="宋体"/>
        </w:rPr>
      </w:pPr>
      <w:r>
        <w:rPr>
          <w:rFonts w:ascii="宋体" w:eastAsia="宋体" w:hAnsi="宋体" w:hint="eastAsia"/>
        </w:rPr>
        <w:t>程电子监控系统的系统截图及介绍。</w:t>
      </w:r>
    </w:p>
    <w:p w:rsidR="0026390C" w:rsidRDefault="00E458B4">
      <w:pPr>
        <w:pStyle w:val="TableParagraph"/>
        <w:numPr>
          <w:ilvl w:val="1"/>
          <w:numId w:val="5"/>
        </w:numPr>
        <w:tabs>
          <w:tab w:val="left" w:pos="336"/>
        </w:tabs>
        <w:spacing w:before="84" w:line="360" w:lineRule="auto"/>
        <w:ind w:right="151" w:firstLine="0"/>
        <w:rPr>
          <w:rFonts w:ascii="宋体" w:eastAsia="宋体" w:hAnsi="宋体"/>
        </w:rPr>
      </w:pPr>
      <w:r>
        <w:rPr>
          <w:rFonts w:ascii="宋体" w:eastAsia="宋体" w:hAnsi="宋体" w:hint="eastAsia"/>
        </w:rPr>
        <w:t>标本在送检过程中出现延迟、遗漏、丢失等情况，供应商应有完善的应急预案予以妥善解决，否则供应商应承担相应责任（提供应急预案方案）。</w:t>
      </w:r>
    </w:p>
    <w:p w:rsidR="0026390C" w:rsidRDefault="00E458B4">
      <w:pPr>
        <w:pStyle w:val="TableParagraph"/>
        <w:numPr>
          <w:ilvl w:val="1"/>
          <w:numId w:val="5"/>
        </w:numPr>
        <w:tabs>
          <w:tab w:val="left" w:pos="336"/>
        </w:tabs>
        <w:spacing w:before="28" w:line="360" w:lineRule="auto"/>
        <w:ind w:left="335"/>
        <w:rPr>
          <w:rFonts w:ascii="宋体" w:eastAsia="宋体" w:hAnsi="宋体"/>
        </w:rPr>
      </w:pPr>
      <w:r>
        <w:rPr>
          <w:rFonts w:ascii="宋体" w:eastAsia="宋体" w:hAnsi="宋体" w:hint="eastAsia"/>
        </w:rPr>
        <w:t>能够按用户要求妥善保存及销毁检验后样本。</w:t>
      </w:r>
    </w:p>
    <w:p w:rsidR="0026390C" w:rsidRDefault="00E458B4">
      <w:pPr>
        <w:pStyle w:val="TableParagraph"/>
        <w:numPr>
          <w:ilvl w:val="1"/>
          <w:numId w:val="5"/>
        </w:numPr>
        <w:tabs>
          <w:tab w:val="left" w:pos="336"/>
        </w:tabs>
        <w:spacing w:before="28" w:line="360" w:lineRule="auto"/>
        <w:ind w:left="335"/>
        <w:rPr>
          <w:rFonts w:ascii="宋体" w:eastAsia="宋体" w:hAnsi="宋体"/>
        </w:rPr>
      </w:pPr>
      <w:r>
        <w:rPr>
          <w:rFonts w:ascii="宋体" w:eastAsia="宋体" w:hAnsi="宋体" w:hint="eastAsia"/>
        </w:rPr>
        <w:t>提供每周七天的上门接收标本的服务，时间为8：30至17：30。遇特殊标本可机动收取。</w:t>
      </w:r>
    </w:p>
    <w:p w:rsidR="0026390C" w:rsidRDefault="00E458B4">
      <w:pPr>
        <w:pStyle w:val="af0"/>
        <w:numPr>
          <w:ilvl w:val="0"/>
          <w:numId w:val="6"/>
        </w:numPr>
        <w:spacing w:line="500" w:lineRule="exact"/>
        <w:ind w:firstLineChars="0"/>
        <w:rPr>
          <w:rFonts w:ascii="宋体" w:eastAsia="宋体" w:hAnsi="宋体"/>
          <w:b/>
          <w:bCs/>
          <w:sz w:val="24"/>
        </w:rPr>
      </w:pPr>
      <w:r>
        <w:rPr>
          <w:rFonts w:ascii="宋体" w:eastAsia="宋体" w:hAnsi="宋体" w:hint="eastAsia"/>
          <w:b/>
          <w:bCs/>
          <w:sz w:val="24"/>
        </w:rPr>
        <w:lastRenderedPageBreak/>
        <w:t>其他技术服务要求：</w:t>
      </w:r>
    </w:p>
    <w:p w:rsidR="0026390C" w:rsidRDefault="00E458B4">
      <w:pPr>
        <w:spacing w:line="360" w:lineRule="auto"/>
        <w:rPr>
          <w:rFonts w:ascii="宋体" w:eastAsia="宋体" w:hAnsi="宋体"/>
          <w:sz w:val="24"/>
        </w:rPr>
      </w:pPr>
      <w:r>
        <w:rPr>
          <w:rFonts w:ascii="宋体" w:eastAsia="宋体" w:hAnsi="宋体"/>
          <w:sz w:val="24"/>
        </w:rPr>
        <w:t>5.1</w:t>
      </w:r>
      <w:r>
        <w:rPr>
          <w:rFonts w:ascii="宋体" w:eastAsia="宋体" w:hAnsi="宋体" w:hint="eastAsia"/>
          <w:sz w:val="24"/>
        </w:rPr>
        <w:t>供应商</w:t>
      </w:r>
      <w:r>
        <w:rPr>
          <w:rFonts w:ascii="宋体" w:eastAsia="宋体" w:hAnsi="宋体"/>
          <w:sz w:val="24"/>
        </w:rPr>
        <w:t>按国家检验规范进行操作，并对标本的检验报告承担相应的责任；并保证检验结果的公正性，不受任何诱使或压力的干扰。</w:t>
      </w:r>
    </w:p>
    <w:p w:rsidR="0026390C" w:rsidRDefault="00E458B4">
      <w:pPr>
        <w:spacing w:line="360" w:lineRule="auto"/>
        <w:rPr>
          <w:rFonts w:ascii="宋体" w:eastAsia="宋体" w:hAnsi="宋体"/>
          <w:sz w:val="24"/>
        </w:rPr>
      </w:pPr>
      <w:r>
        <w:rPr>
          <w:rFonts w:ascii="宋体" w:eastAsia="宋体" w:hAnsi="宋体"/>
          <w:sz w:val="24"/>
        </w:rPr>
        <w:t>5.2</w:t>
      </w:r>
      <w:r>
        <w:rPr>
          <w:rFonts w:ascii="宋体" w:eastAsia="宋体" w:hAnsi="宋体" w:hint="eastAsia"/>
          <w:sz w:val="24"/>
        </w:rPr>
        <w:t>供应商</w:t>
      </w:r>
      <w:r>
        <w:rPr>
          <w:rFonts w:ascii="宋体" w:eastAsia="宋体" w:hAnsi="宋体"/>
          <w:sz w:val="24"/>
        </w:rPr>
        <w:t>按卫生部临检中心质量要求进行操作，按照规范流程进行标本保存、运输与检查诊断，并对标本的检验报告承担相应的责任。</w:t>
      </w:r>
      <w:r>
        <w:rPr>
          <w:rFonts w:ascii="宋体" w:eastAsia="宋体" w:hAnsi="宋体" w:hint="eastAsia"/>
          <w:sz w:val="24"/>
        </w:rPr>
        <w:t>供应商</w:t>
      </w:r>
      <w:r>
        <w:rPr>
          <w:rFonts w:ascii="宋体" w:eastAsia="宋体" w:hAnsi="宋体"/>
          <w:sz w:val="24"/>
        </w:rPr>
        <w:t>有为采购人保密的义务，在未经采购人同意或授权下，不得向采购人以外的任何单位或个人泄露采购人委托检测的任何信息。</w:t>
      </w:r>
    </w:p>
    <w:p w:rsidR="0026390C" w:rsidRDefault="00E458B4">
      <w:pPr>
        <w:spacing w:line="360" w:lineRule="auto"/>
        <w:rPr>
          <w:rFonts w:ascii="宋体" w:eastAsia="宋体" w:hAnsi="宋体"/>
          <w:sz w:val="24"/>
        </w:rPr>
      </w:pPr>
      <w:r>
        <w:rPr>
          <w:rFonts w:ascii="宋体" w:eastAsia="宋体" w:hAnsi="宋体"/>
          <w:sz w:val="24"/>
        </w:rPr>
        <w:t>5.3</w:t>
      </w:r>
      <w:r>
        <w:rPr>
          <w:rFonts w:ascii="宋体" w:eastAsia="宋体" w:hAnsi="宋体" w:hint="eastAsia"/>
          <w:sz w:val="24"/>
        </w:rPr>
        <w:t>供应商</w:t>
      </w:r>
      <w:r>
        <w:rPr>
          <w:rFonts w:ascii="宋体" w:eastAsia="宋体" w:hAnsi="宋体"/>
          <w:sz w:val="24"/>
        </w:rPr>
        <w:t>按日或检测批次对采购人委托项目进行室内质控，按季度提供室内质量控制报表，其内容包括质控检测数据、控制标准、质控分析、失控报告，可以随时接受并妥善安排采购人查阅项目检测、质量控制等情况。</w:t>
      </w:r>
    </w:p>
    <w:p w:rsidR="0026390C" w:rsidRDefault="00E458B4">
      <w:pPr>
        <w:spacing w:line="360" w:lineRule="auto"/>
        <w:rPr>
          <w:rFonts w:ascii="宋体" w:eastAsia="宋体" w:hAnsi="宋体"/>
          <w:sz w:val="24"/>
        </w:rPr>
      </w:pPr>
      <w:r>
        <w:rPr>
          <w:rFonts w:ascii="宋体" w:eastAsia="宋体" w:hAnsi="宋体"/>
          <w:sz w:val="24"/>
        </w:rPr>
        <w:t>5.4</w:t>
      </w:r>
      <w:r>
        <w:rPr>
          <w:rFonts w:ascii="宋体" w:eastAsia="宋体" w:hAnsi="宋体" w:hint="eastAsia"/>
          <w:sz w:val="24"/>
        </w:rPr>
        <w:t>供应商</w:t>
      </w:r>
      <w:r>
        <w:rPr>
          <w:rFonts w:ascii="宋体" w:eastAsia="宋体" w:hAnsi="宋体"/>
          <w:sz w:val="24"/>
        </w:rPr>
        <w:t>实验室检测后的剩余标本（如有），由</w:t>
      </w:r>
      <w:r>
        <w:rPr>
          <w:rFonts w:ascii="宋体" w:eastAsia="宋体" w:hAnsi="宋体" w:hint="eastAsia"/>
          <w:sz w:val="24"/>
        </w:rPr>
        <w:t>供应商</w:t>
      </w:r>
      <w:r>
        <w:rPr>
          <w:rFonts w:ascii="宋体" w:eastAsia="宋体" w:hAnsi="宋体"/>
          <w:sz w:val="24"/>
        </w:rPr>
        <w:t>依法处置，</w:t>
      </w:r>
      <w:r>
        <w:rPr>
          <w:rFonts w:ascii="宋体" w:eastAsia="宋体" w:hAnsi="宋体" w:hint="eastAsia"/>
          <w:sz w:val="24"/>
        </w:rPr>
        <w:t>供应商</w:t>
      </w:r>
      <w:r>
        <w:rPr>
          <w:rFonts w:ascii="宋体" w:eastAsia="宋体" w:hAnsi="宋体"/>
          <w:sz w:val="24"/>
        </w:rPr>
        <w:t>按照国家法律法规及相关行业规定的保存期限保存剩余标本（如有），定期返样（如有）。检测样本、检测数据的所有权、使用权为采购人所有，未经许可不得挪作它用。</w:t>
      </w:r>
    </w:p>
    <w:p w:rsidR="0026390C" w:rsidRDefault="00E458B4">
      <w:pPr>
        <w:spacing w:line="360" w:lineRule="auto"/>
        <w:rPr>
          <w:rFonts w:ascii="宋体" w:eastAsia="宋体" w:hAnsi="宋体"/>
          <w:sz w:val="24"/>
        </w:rPr>
      </w:pPr>
      <w:r>
        <w:rPr>
          <w:rFonts w:ascii="宋体" w:eastAsia="宋体" w:hAnsi="宋体"/>
          <w:sz w:val="24"/>
        </w:rPr>
        <w:t>5.5部分特殊检查项目需要的采样器、知情同意书、专用的患者资料登记申请单等由</w:t>
      </w:r>
      <w:r>
        <w:rPr>
          <w:rFonts w:ascii="宋体" w:eastAsia="宋体" w:hAnsi="宋体" w:hint="eastAsia"/>
          <w:sz w:val="24"/>
        </w:rPr>
        <w:t>供应商</w:t>
      </w:r>
      <w:r>
        <w:rPr>
          <w:rFonts w:ascii="宋体" w:eastAsia="宋体" w:hAnsi="宋体"/>
          <w:sz w:val="24"/>
        </w:rPr>
        <w:t>提供。</w:t>
      </w:r>
    </w:p>
    <w:p w:rsidR="0026390C" w:rsidRDefault="00E458B4">
      <w:pPr>
        <w:spacing w:line="360" w:lineRule="auto"/>
        <w:rPr>
          <w:rFonts w:ascii="宋体" w:eastAsia="宋体" w:hAnsi="宋体"/>
          <w:sz w:val="24"/>
        </w:rPr>
      </w:pPr>
      <w:r>
        <w:rPr>
          <w:rFonts w:ascii="宋体" w:eastAsia="宋体" w:hAnsi="宋体"/>
          <w:sz w:val="24"/>
        </w:rPr>
        <w:t>5.6中标人需提供免费服务电话、网络查询、微信查询等多种渠道供采购人相关临床部门进行业务咨询、报告查询、账单查询统计功能。制定完善制定和流程保障上门服务，并派驻具有医学检验背景的专业人员提供上门售后服务。</w:t>
      </w:r>
    </w:p>
    <w:p w:rsidR="0026390C" w:rsidRDefault="00E458B4">
      <w:pPr>
        <w:spacing w:line="360" w:lineRule="auto"/>
        <w:rPr>
          <w:rFonts w:ascii="宋体" w:eastAsia="宋体" w:hAnsi="宋体"/>
          <w:sz w:val="24"/>
        </w:rPr>
      </w:pPr>
      <w:r>
        <w:rPr>
          <w:rFonts w:ascii="宋体" w:eastAsia="宋体" w:hAnsi="宋体"/>
          <w:sz w:val="24"/>
        </w:rPr>
        <w:t>5.7</w:t>
      </w:r>
      <w:r>
        <w:rPr>
          <w:rFonts w:ascii="宋体" w:eastAsia="宋体" w:hAnsi="宋体" w:hint="eastAsia"/>
          <w:sz w:val="24"/>
        </w:rPr>
        <w:t>供应商</w:t>
      </w:r>
      <w:r>
        <w:rPr>
          <w:rFonts w:ascii="宋体" w:eastAsia="宋体" w:hAnsi="宋体"/>
          <w:sz w:val="24"/>
        </w:rPr>
        <w:t>应建立快速的客户服务反应机制，如有针对</w:t>
      </w:r>
      <w:r>
        <w:rPr>
          <w:rFonts w:ascii="宋体" w:eastAsia="宋体" w:hAnsi="宋体" w:hint="eastAsia"/>
          <w:sz w:val="24"/>
        </w:rPr>
        <w:t>供应商</w:t>
      </w:r>
      <w:r>
        <w:rPr>
          <w:rFonts w:ascii="宋体" w:eastAsia="宋体" w:hAnsi="宋体"/>
          <w:sz w:val="24"/>
        </w:rPr>
        <w:t>或采购人的投诉或需处理的情况，</w:t>
      </w:r>
      <w:r>
        <w:rPr>
          <w:rFonts w:ascii="宋体" w:eastAsia="宋体" w:hAnsi="宋体" w:hint="eastAsia"/>
          <w:sz w:val="24"/>
        </w:rPr>
        <w:t>供应商</w:t>
      </w:r>
      <w:r>
        <w:rPr>
          <w:rFonts w:ascii="宋体" w:eastAsia="宋体" w:hAnsi="宋体"/>
          <w:sz w:val="24"/>
        </w:rPr>
        <w:t>应派代表在半日内到达医院及时沟通处理；若主要针对采购人的投诉或需处理的情况，</w:t>
      </w:r>
      <w:r>
        <w:rPr>
          <w:rFonts w:ascii="宋体" w:eastAsia="宋体" w:hAnsi="宋体" w:hint="eastAsia"/>
          <w:sz w:val="24"/>
        </w:rPr>
        <w:t>供应商</w:t>
      </w:r>
      <w:r>
        <w:rPr>
          <w:rFonts w:ascii="宋体" w:eastAsia="宋体" w:hAnsi="宋体"/>
          <w:sz w:val="24"/>
        </w:rPr>
        <w:t>有义务协助采购人及时沟通处理。</w:t>
      </w:r>
    </w:p>
    <w:p w:rsidR="0026390C" w:rsidRDefault="00E458B4">
      <w:pPr>
        <w:spacing w:line="360" w:lineRule="auto"/>
        <w:rPr>
          <w:rFonts w:ascii="宋体" w:eastAsia="宋体" w:hAnsi="宋体"/>
          <w:sz w:val="24"/>
        </w:rPr>
      </w:pPr>
      <w:r>
        <w:rPr>
          <w:rFonts w:ascii="宋体" w:eastAsia="宋体" w:hAnsi="宋体" w:hint="eastAsia"/>
          <w:sz w:val="24"/>
        </w:rPr>
        <w:t>5.8供应商</w:t>
      </w:r>
      <w:r>
        <w:rPr>
          <w:rFonts w:ascii="宋体" w:eastAsia="宋体" w:hAnsi="宋体"/>
          <w:sz w:val="24"/>
        </w:rPr>
        <w:t>按照检测项目常规报告时间提供检测结果，并能满足采购人急诊项目的优先检测。</w:t>
      </w:r>
    </w:p>
    <w:p w:rsidR="0026390C" w:rsidRDefault="00E458B4">
      <w:pPr>
        <w:pStyle w:val="a0"/>
        <w:spacing w:line="360" w:lineRule="auto"/>
      </w:pPr>
      <w:r>
        <w:rPr>
          <w:rFonts w:ascii="宋体" w:eastAsia="宋体" w:hAnsi="宋体" w:hint="eastAsia"/>
          <w:sz w:val="24"/>
        </w:rPr>
        <w:t>5.9新冠核酸检测项目，供应商需在合同签订后2周内在采购人指定地点搭建适合本地化的新冠核酸检测平台，提供新冠核酸检测本地化服务方案。</w:t>
      </w:r>
    </w:p>
    <w:p w:rsidR="0026390C" w:rsidRDefault="00E458B4">
      <w:pPr>
        <w:spacing w:line="500" w:lineRule="exact"/>
        <w:outlineLvl w:val="1"/>
      </w:pPr>
      <w:r>
        <w:rPr>
          <w:rFonts w:ascii="宋体" w:eastAsia="宋体" w:hAnsi="宋体" w:hint="eastAsia"/>
          <w:sz w:val="24"/>
          <w:szCs w:val="24"/>
        </w:rPr>
        <w:t>6</w:t>
      </w:r>
      <w:r>
        <w:rPr>
          <w:rFonts w:ascii="宋体" w:eastAsia="宋体" w:hAnsi="宋体" w:hint="eastAsia"/>
          <w:b/>
          <w:bCs/>
          <w:sz w:val="24"/>
          <w:szCs w:val="24"/>
        </w:rPr>
        <w:t>结果查询</w:t>
      </w:r>
      <w:r>
        <w:rPr>
          <w:rFonts w:ascii="宋体" w:eastAsia="宋体" w:hAnsi="宋体" w:hint="eastAsia"/>
          <w:b/>
          <w:sz w:val="24"/>
          <w:szCs w:val="24"/>
        </w:rPr>
        <w:t>培训及</w:t>
      </w:r>
      <w:r>
        <w:rPr>
          <w:rFonts w:ascii="宋体" w:eastAsia="宋体" w:hAnsi="宋体" w:cs="宋体" w:hint="eastAsia"/>
          <w:b/>
          <w:bCs/>
          <w:color w:val="000000"/>
          <w:sz w:val="24"/>
          <w:szCs w:val="24"/>
        </w:rPr>
        <w:t>科研需求</w:t>
      </w:r>
    </w:p>
    <w:p w:rsidR="0026390C" w:rsidRDefault="00E458B4">
      <w:pPr>
        <w:pStyle w:val="a0"/>
        <w:spacing w:line="360" w:lineRule="auto"/>
        <w:rPr>
          <w:rFonts w:ascii="宋体" w:eastAsia="宋体" w:hAnsi="宋体"/>
          <w:sz w:val="24"/>
        </w:rPr>
      </w:pPr>
      <w:r>
        <w:rPr>
          <w:rFonts w:ascii="宋体" w:eastAsia="宋体" w:hAnsi="宋体" w:hint="eastAsia"/>
          <w:sz w:val="24"/>
        </w:rPr>
        <w:t>6.1能保证检验结果实时网络传送，实现实验室数据的汇总、储存、传输功能，配合院方进行病理服务网络建设，包括IT系统等,需符合国家信息安全有关的规</w:t>
      </w:r>
      <w:r>
        <w:rPr>
          <w:rFonts w:ascii="宋体" w:eastAsia="宋体" w:hAnsi="宋体" w:hint="eastAsia"/>
          <w:sz w:val="24"/>
        </w:rPr>
        <w:lastRenderedPageBreak/>
        <w:t>定和要求。</w:t>
      </w:r>
    </w:p>
    <w:p w:rsidR="0026390C" w:rsidRDefault="00E458B4">
      <w:pPr>
        <w:pStyle w:val="a0"/>
        <w:spacing w:line="360" w:lineRule="auto"/>
        <w:rPr>
          <w:rFonts w:ascii="宋体" w:eastAsia="宋体" w:hAnsi="宋体"/>
          <w:sz w:val="24"/>
        </w:rPr>
      </w:pPr>
      <w:r>
        <w:rPr>
          <w:rFonts w:ascii="宋体" w:eastAsia="宋体" w:hAnsi="宋体" w:hint="eastAsia"/>
          <w:sz w:val="24"/>
        </w:rPr>
        <w:t>6.2提供网上查询服务，以供随时查询进度和结果。</w:t>
      </w:r>
    </w:p>
    <w:p w:rsidR="0026390C" w:rsidRDefault="00E458B4">
      <w:pPr>
        <w:pStyle w:val="a0"/>
        <w:spacing w:line="360" w:lineRule="auto"/>
        <w:rPr>
          <w:rFonts w:ascii="宋体" w:eastAsia="宋体" w:hAnsi="宋体"/>
          <w:sz w:val="24"/>
        </w:rPr>
      </w:pPr>
      <w:r>
        <w:rPr>
          <w:rFonts w:ascii="宋体" w:eastAsia="宋体" w:hAnsi="宋体" w:hint="eastAsia"/>
          <w:sz w:val="24"/>
        </w:rPr>
        <w:t>6.3可追溯性：医院医务人员可以随时调阅检验结果，供应商须保证病人的资料的准确性和检验结果的及时性，并提供系统使用的必要培训与技术支持。</w:t>
      </w:r>
    </w:p>
    <w:p w:rsidR="0026390C" w:rsidRDefault="00E458B4">
      <w:pPr>
        <w:pStyle w:val="a0"/>
        <w:spacing w:line="360" w:lineRule="auto"/>
        <w:rPr>
          <w:rFonts w:ascii="宋体" w:eastAsia="宋体" w:hAnsi="宋体"/>
          <w:sz w:val="24"/>
        </w:rPr>
      </w:pPr>
      <w:r>
        <w:rPr>
          <w:rFonts w:ascii="宋体" w:eastAsia="宋体" w:hAnsi="宋体" w:hint="eastAsia"/>
          <w:sz w:val="24"/>
        </w:rPr>
        <w:t>6.4报告时间：会诊中心实现当日上传的会诊病例，无需加做其它项目的24小时出具会诊报告，术中冰冻在完成切片扫描后，远程平台接诊后15分钟内发出冰冻会诊报告。</w:t>
      </w:r>
    </w:p>
    <w:p w:rsidR="0026390C" w:rsidRDefault="00E458B4">
      <w:pPr>
        <w:spacing w:line="360" w:lineRule="auto"/>
        <w:rPr>
          <w:rFonts w:ascii="宋体" w:eastAsia="宋体" w:hAnsi="宋体"/>
          <w:sz w:val="24"/>
        </w:rPr>
      </w:pPr>
      <w:r>
        <w:rPr>
          <w:rFonts w:ascii="宋体" w:eastAsia="宋体" w:hAnsi="宋体" w:hint="eastAsia"/>
          <w:sz w:val="24"/>
        </w:rPr>
        <w:t>7</w:t>
      </w:r>
      <w:r>
        <w:rPr>
          <w:rFonts w:ascii="宋体" w:eastAsia="宋体" w:hAnsi="宋体" w:hint="eastAsia"/>
          <w:b/>
          <w:bCs/>
          <w:sz w:val="24"/>
        </w:rPr>
        <w:t>应急服务</w:t>
      </w:r>
    </w:p>
    <w:p w:rsidR="0026390C" w:rsidRDefault="00E458B4">
      <w:pPr>
        <w:spacing w:line="360" w:lineRule="auto"/>
        <w:rPr>
          <w:rFonts w:ascii="宋体" w:eastAsia="宋体" w:hAnsi="宋体"/>
          <w:sz w:val="24"/>
        </w:rPr>
      </w:pPr>
      <w:r>
        <w:rPr>
          <w:rFonts w:ascii="宋体" w:eastAsia="宋体" w:hAnsi="宋体" w:hint="eastAsia"/>
          <w:sz w:val="24"/>
        </w:rPr>
        <w:t>7.1供应商应有完整的应急预案，对于院方的突发状况应有快速反应机制，在接到院方需求的2小时内到达医院及时沟通处理。</w:t>
      </w:r>
    </w:p>
    <w:p w:rsidR="0026390C" w:rsidRDefault="00E458B4">
      <w:pPr>
        <w:pStyle w:val="a0"/>
        <w:spacing w:line="360" w:lineRule="auto"/>
      </w:pPr>
      <w:r>
        <w:rPr>
          <w:rFonts w:ascii="宋体" w:eastAsia="宋体" w:hAnsi="宋体" w:hint="eastAsia"/>
          <w:sz w:val="24"/>
        </w:rPr>
        <w:t>8</w:t>
      </w:r>
      <w:r>
        <w:rPr>
          <w:rFonts w:ascii="宋体" w:eastAsia="宋体" w:hAnsi="宋体" w:hint="eastAsia"/>
          <w:b/>
          <w:bCs/>
          <w:sz w:val="24"/>
        </w:rPr>
        <w:t>科研培训需求</w:t>
      </w:r>
    </w:p>
    <w:p w:rsidR="0026390C" w:rsidRDefault="00E458B4">
      <w:pPr>
        <w:pStyle w:val="a4"/>
        <w:spacing w:line="360" w:lineRule="auto"/>
        <w:ind w:firstLine="0"/>
        <w:rPr>
          <w:rFonts w:ascii="宋体" w:eastAsia="宋体" w:hAnsi="宋体"/>
          <w:sz w:val="24"/>
        </w:rPr>
      </w:pPr>
      <w:r>
        <w:rPr>
          <w:rFonts w:ascii="宋体" w:eastAsia="宋体" w:hAnsi="宋体" w:hint="eastAsia"/>
          <w:sz w:val="24"/>
        </w:rPr>
        <w:t>8.1供应商协助采购人开展检验人员开展ISO15189知识等进修培训、协助医院开展继续教育、专题讲座等学术交流活动。</w:t>
      </w:r>
    </w:p>
    <w:p w:rsidR="0026390C" w:rsidRDefault="00E458B4">
      <w:pPr>
        <w:spacing w:line="360" w:lineRule="auto"/>
        <w:rPr>
          <w:rFonts w:ascii="宋体" w:eastAsia="宋体" w:hAnsi="宋体"/>
          <w:sz w:val="24"/>
        </w:rPr>
      </w:pPr>
      <w:r>
        <w:rPr>
          <w:rFonts w:ascii="宋体" w:eastAsia="宋体" w:hAnsi="宋体" w:hint="eastAsia"/>
          <w:sz w:val="24"/>
        </w:rPr>
        <w:t>8.2供应商协助采购人定期整理标本检验数据，深入挖掘，助力采购人科研成果产出。供应商如使用采购人提供的受检者标本发表科研成果，需经采购人同意，且采购人有署名权，署名排序按照文章发表时各方的贡献另行协商确定。</w:t>
      </w:r>
    </w:p>
    <w:p w:rsidR="0026390C" w:rsidRDefault="00E458B4">
      <w:pPr>
        <w:pStyle w:val="a0"/>
        <w:spacing w:line="360" w:lineRule="auto"/>
      </w:pPr>
      <w:r>
        <w:rPr>
          <w:rFonts w:ascii="宋体" w:eastAsia="宋体" w:hAnsi="宋体" w:hint="eastAsia"/>
          <w:sz w:val="24"/>
        </w:rPr>
        <w:t>8.3供应商协助采购人进行病理亚专科建设，至少每月邀请1位国内/省内知名病理专家到采购人病理科室进行学术交流及亚专科建设指导工作，专家费用由中标人负责。</w:t>
      </w:r>
    </w:p>
    <w:p w:rsidR="0026390C" w:rsidRDefault="00E458B4">
      <w:pPr>
        <w:spacing w:line="360" w:lineRule="auto"/>
        <w:rPr>
          <w:rFonts w:ascii="宋体" w:eastAsia="宋体" w:hAnsi="宋体"/>
          <w:sz w:val="24"/>
        </w:rPr>
      </w:pPr>
      <w:r>
        <w:rPr>
          <w:rFonts w:ascii="宋体" w:eastAsia="宋体" w:hAnsi="宋体" w:hint="eastAsia"/>
          <w:sz w:val="24"/>
        </w:rPr>
        <w:t>9</w:t>
      </w:r>
      <w:r>
        <w:rPr>
          <w:rFonts w:ascii="宋体" w:eastAsia="宋体" w:hAnsi="宋体" w:hint="eastAsia"/>
          <w:b/>
          <w:bCs/>
          <w:sz w:val="24"/>
        </w:rPr>
        <w:t>违约责任</w:t>
      </w:r>
    </w:p>
    <w:p w:rsidR="0026390C" w:rsidRDefault="00E458B4">
      <w:pPr>
        <w:spacing w:line="360" w:lineRule="auto"/>
        <w:rPr>
          <w:rFonts w:ascii="宋体" w:eastAsia="宋体" w:hAnsi="宋体"/>
          <w:sz w:val="24"/>
        </w:rPr>
      </w:pPr>
      <w:r>
        <w:rPr>
          <w:rFonts w:ascii="宋体" w:eastAsia="宋体" w:hAnsi="宋体"/>
          <w:sz w:val="24"/>
        </w:rPr>
        <w:t>9.1中标人应对送检项目病理诊断结果负责，由中标人原因引起的医疗纠纷，所产生的法律、经济责任由乙方负责。</w:t>
      </w:r>
    </w:p>
    <w:p w:rsidR="0026390C" w:rsidRDefault="00E458B4">
      <w:pPr>
        <w:spacing w:line="360" w:lineRule="auto"/>
        <w:rPr>
          <w:rFonts w:ascii="宋体" w:eastAsia="宋体" w:hAnsi="宋体"/>
          <w:sz w:val="24"/>
        </w:rPr>
      </w:pPr>
      <w:r>
        <w:rPr>
          <w:rFonts w:ascii="宋体" w:eastAsia="宋体" w:hAnsi="宋体"/>
          <w:sz w:val="24"/>
        </w:rPr>
        <w:t>9.2中标人对采购人送检的合格样本结果负责，对于按照中标人要求取材的合格样本，若因中标人原因导致检测结果存在质量问题，由中标人承担相应责任。</w:t>
      </w:r>
    </w:p>
    <w:p w:rsidR="0026390C" w:rsidRDefault="00E458B4">
      <w:pPr>
        <w:spacing w:line="360" w:lineRule="auto"/>
        <w:rPr>
          <w:rFonts w:ascii="宋体" w:eastAsia="宋体" w:hAnsi="宋体"/>
          <w:sz w:val="24"/>
        </w:rPr>
      </w:pPr>
      <w:r>
        <w:rPr>
          <w:rFonts w:ascii="宋体" w:eastAsia="宋体" w:hAnsi="宋体"/>
          <w:sz w:val="24"/>
        </w:rPr>
        <w:t>9.3</w:t>
      </w:r>
      <w:r>
        <w:rPr>
          <w:rFonts w:ascii="宋体" w:eastAsia="宋体" w:hAnsi="宋体" w:hint="eastAsia"/>
          <w:sz w:val="24"/>
        </w:rPr>
        <w:t>供应商</w:t>
      </w:r>
      <w:r>
        <w:rPr>
          <w:rFonts w:ascii="宋体" w:eastAsia="宋体" w:hAnsi="宋体"/>
          <w:sz w:val="24"/>
        </w:rPr>
        <w:t>应保证其用到本项目的专利、技术是其合格持有，且享有处分权，若因实施本项目的专利技术产生的侵权纠纷，采购人有权向中标人追究责任，并向中标人索赔因此受到的全部损失，并有权单方终止本项目合同。</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服务验收要求</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lastRenderedPageBreak/>
        <w:t>1.供应商按质按量完成检验外送标本接收、运输、检测等工作，按照约定报告时限将检验结果反馈到医院系统，并按临床需求提供检验结果临床意义解读与沟通。</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2.室内质控数据真实可靠，提供报表给采购人定期核查</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○项目室间质评回馈得分平均PT&gt;80%</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○标本丢失每月不超过2例</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○月平均延时报告率&lt;5%，日延时报告率&gt;10%不能超过3次</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○月平均危急值延时报告率&lt;1%，无漏报</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○信息系统对接故障响应时间&lt;2小时，每月延时响应不超过3次</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○临床投诉数量&lt;2例/月</w:t>
      </w:r>
    </w:p>
    <w:p w:rsidR="0026390C" w:rsidRDefault="00E458B4">
      <w:pPr>
        <w:pStyle w:val="TableParagraph"/>
        <w:kinsoku w:val="0"/>
        <w:overflowPunct w:val="0"/>
        <w:spacing w:line="360" w:lineRule="auto"/>
        <w:ind w:left="59"/>
        <w:rPr>
          <w:rFonts w:ascii="宋体" w:eastAsia="宋体" w:hAnsi="宋体"/>
        </w:rPr>
      </w:pPr>
      <w:r>
        <w:rPr>
          <w:rFonts w:ascii="宋体" w:eastAsia="宋体" w:hAnsi="宋体" w:hint="eastAsia"/>
        </w:rPr>
        <w:t>○结果差错数量&lt;2例/月</w:t>
      </w:r>
    </w:p>
    <w:p w:rsidR="0026390C" w:rsidRDefault="00E458B4">
      <w:pPr>
        <w:pStyle w:val="af0"/>
        <w:tabs>
          <w:tab w:val="left" w:pos="709"/>
        </w:tabs>
        <w:spacing w:line="360" w:lineRule="auto"/>
        <w:ind w:firstLineChars="0" w:firstLine="0"/>
        <w:rPr>
          <w:rFonts w:ascii="宋体" w:eastAsia="宋体" w:hAnsi="宋体"/>
          <w:sz w:val="24"/>
        </w:rPr>
      </w:pPr>
      <w:r>
        <w:rPr>
          <w:rFonts w:ascii="宋体" w:eastAsia="宋体" w:hAnsi="宋体" w:hint="eastAsia"/>
          <w:sz w:val="24"/>
        </w:rPr>
        <w:t>考核制度：供应商在项目实施过程中，完成情况满足全部带○条款，购买方按合同要求全额支付服务费用；如有带○条款不达标，每涉及一条带○条款，扣当月据实结算金额2%。</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商务</w:t>
      </w:r>
      <w:r>
        <w:rPr>
          <w:rFonts w:ascii="宋体" w:eastAsia="宋体" w:hAnsi="宋体"/>
          <w:sz w:val="28"/>
          <w:szCs w:val="28"/>
        </w:rPr>
        <w:t>要求</w:t>
      </w:r>
      <w:r>
        <w:rPr>
          <w:rFonts w:ascii="宋体" w:eastAsia="宋体" w:hAnsi="宋体" w:hint="eastAsia"/>
          <w:sz w:val="28"/>
          <w:szCs w:val="28"/>
        </w:rPr>
        <w:t>：</w:t>
      </w:r>
    </w:p>
    <w:p w:rsidR="0026390C" w:rsidRDefault="00E458B4">
      <w:pPr>
        <w:spacing w:line="500" w:lineRule="exact"/>
        <w:rPr>
          <w:rFonts w:ascii="宋体" w:eastAsia="宋体" w:hAnsi="宋体"/>
          <w:bCs/>
          <w:sz w:val="24"/>
          <w:szCs w:val="24"/>
        </w:rPr>
      </w:pPr>
      <w:r>
        <w:rPr>
          <w:rFonts w:ascii="宋体" w:eastAsia="宋体" w:hAnsi="宋体" w:hint="eastAsia"/>
          <w:bCs/>
          <w:sz w:val="24"/>
          <w:szCs w:val="24"/>
        </w:rPr>
        <w:t>1．报价结算要求</w:t>
      </w:r>
    </w:p>
    <w:p w:rsidR="0026390C" w:rsidRDefault="00E458B4">
      <w:pPr>
        <w:spacing w:line="500" w:lineRule="exact"/>
        <w:rPr>
          <w:rFonts w:ascii="宋体" w:eastAsia="宋体" w:hAnsi="宋体"/>
          <w:bCs/>
          <w:sz w:val="24"/>
          <w:szCs w:val="24"/>
        </w:rPr>
      </w:pPr>
      <w:r>
        <w:rPr>
          <w:rFonts w:ascii="宋体" w:eastAsia="宋体" w:hAnsi="宋体" w:hint="eastAsia"/>
          <w:bCs/>
          <w:sz w:val="24"/>
          <w:szCs w:val="24"/>
        </w:rPr>
        <w:t>1.1采购人负责向病人收取检验费，供应商按照相关收费标准并根据本条第2款的结算比例向采购人收取委托检验服务费。属于基本医疗服务项目，执行2018年12月份的《</w:t>
      </w:r>
      <w:r>
        <w:rPr>
          <w:rFonts w:ascii="宋体" w:eastAsia="宋体" w:hAnsi="宋体" w:cs="Times New Roman" w:hint="eastAsia"/>
          <w:sz w:val="24"/>
          <w:szCs w:val="24"/>
        </w:rPr>
        <w:t>广州地区公立医院基本医疗服务项目价格</w:t>
      </w:r>
      <w:r>
        <w:rPr>
          <w:rFonts w:ascii="宋体" w:eastAsia="宋体" w:hAnsi="宋体" w:hint="eastAsia"/>
          <w:bCs/>
          <w:sz w:val="24"/>
          <w:szCs w:val="24"/>
        </w:rPr>
        <w:t>》三级医院收费标准；属于自主定价项目，执行《</w:t>
      </w:r>
      <w:r>
        <w:rPr>
          <w:rFonts w:ascii="宋体" w:eastAsia="宋体" w:hAnsi="宋体" w:cs="Times New Roman" w:hint="eastAsia"/>
          <w:sz w:val="24"/>
          <w:szCs w:val="24"/>
        </w:rPr>
        <w:t>广州市医疗保障局 广州市财政局 广州市卫生健康委关于调整公立医院基本医疗服务价格的通知</w:t>
      </w:r>
      <w:r>
        <w:rPr>
          <w:rFonts w:ascii="宋体" w:eastAsia="宋体" w:hAnsi="宋体" w:hint="eastAsia"/>
          <w:bCs/>
          <w:sz w:val="24"/>
          <w:szCs w:val="24"/>
        </w:rPr>
        <w:t>》（粤医保规[2020]3号）文件；收费标准随着政策变动适时调整。</w:t>
      </w:r>
    </w:p>
    <w:p w:rsidR="0026390C" w:rsidRDefault="00E458B4">
      <w:pPr>
        <w:spacing w:line="500" w:lineRule="exact"/>
        <w:rPr>
          <w:rFonts w:ascii="宋体" w:eastAsia="宋体" w:hAnsi="宋体"/>
          <w:bCs/>
          <w:sz w:val="24"/>
          <w:szCs w:val="24"/>
        </w:rPr>
      </w:pPr>
      <w:r>
        <w:rPr>
          <w:rFonts w:ascii="宋体" w:eastAsia="宋体" w:hAnsi="宋体" w:hint="eastAsia"/>
          <w:bCs/>
          <w:sz w:val="24"/>
          <w:szCs w:val="24"/>
        </w:rPr>
        <w:t>1.2各类检测项目的结算比例为中标标人委托检验服务费折扣率。</w:t>
      </w:r>
    </w:p>
    <w:p w:rsidR="0026390C" w:rsidRDefault="00E458B4">
      <w:pPr>
        <w:spacing w:line="500" w:lineRule="exact"/>
        <w:rPr>
          <w:rFonts w:ascii="宋体" w:eastAsia="宋体" w:hAnsi="宋体"/>
          <w:bCs/>
          <w:sz w:val="24"/>
          <w:szCs w:val="24"/>
        </w:rPr>
      </w:pPr>
      <w:r>
        <w:rPr>
          <w:rFonts w:ascii="宋体" w:eastAsia="宋体" w:hAnsi="宋体" w:hint="eastAsia"/>
          <w:bCs/>
          <w:sz w:val="24"/>
          <w:szCs w:val="24"/>
        </w:rPr>
        <w:t>1.3委托检验项目服务费=委托检验项目检验费×折扣率。</w:t>
      </w:r>
    </w:p>
    <w:p w:rsidR="0026390C" w:rsidRDefault="00E458B4">
      <w:pPr>
        <w:pStyle w:val="af0"/>
        <w:spacing w:line="500" w:lineRule="exact"/>
        <w:ind w:firstLineChars="0" w:firstLine="0"/>
        <w:rPr>
          <w:rFonts w:ascii="宋体" w:eastAsia="宋体" w:hAnsi="宋体"/>
          <w:bCs/>
          <w:sz w:val="24"/>
        </w:rPr>
      </w:pPr>
      <w:r>
        <w:rPr>
          <w:rFonts w:ascii="宋体" w:eastAsia="宋体" w:hAnsi="宋体" w:hint="eastAsia"/>
          <w:bCs/>
          <w:sz w:val="24"/>
        </w:rPr>
        <w:t>2．付款方式</w:t>
      </w:r>
    </w:p>
    <w:p w:rsidR="0026390C" w:rsidRDefault="00E458B4">
      <w:pPr>
        <w:pStyle w:val="af0"/>
        <w:spacing w:line="500" w:lineRule="exact"/>
        <w:ind w:firstLineChars="0" w:firstLine="0"/>
        <w:rPr>
          <w:rFonts w:ascii="宋体" w:eastAsia="宋体" w:hAnsi="宋体"/>
          <w:sz w:val="24"/>
        </w:rPr>
      </w:pPr>
      <w:r>
        <w:rPr>
          <w:rFonts w:ascii="宋体" w:eastAsia="宋体" w:hAnsi="宋体" w:hint="eastAsia"/>
          <w:sz w:val="24"/>
        </w:rPr>
        <w:t>2.1供应商向采购人收取委托检验服务费，委托检验服务费用为含税价，以发送检测报告为对账依据。</w:t>
      </w:r>
    </w:p>
    <w:p w:rsidR="0026390C" w:rsidRDefault="00E458B4">
      <w:pPr>
        <w:pStyle w:val="af0"/>
        <w:spacing w:line="500" w:lineRule="exact"/>
        <w:ind w:firstLineChars="0" w:firstLine="0"/>
        <w:rPr>
          <w:rFonts w:ascii="宋体" w:eastAsia="宋体" w:hAnsi="宋体"/>
          <w:sz w:val="24"/>
        </w:rPr>
      </w:pPr>
      <w:r>
        <w:rPr>
          <w:rFonts w:ascii="宋体" w:eastAsia="宋体" w:hAnsi="宋体" w:hint="eastAsia"/>
          <w:sz w:val="24"/>
        </w:rPr>
        <w:t>2.2按月结算，供应商每月第10个工作日出具上月对账单，采购人10个工作日</w:t>
      </w:r>
      <w:r>
        <w:rPr>
          <w:rFonts w:ascii="宋体" w:eastAsia="宋体" w:hAnsi="宋体" w:hint="eastAsia"/>
          <w:sz w:val="24"/>
        </w:rPr>
        <w:lastRenderedPageBreak/>
        <w:t>内确认对账信息。</w:t>
      </w:r>
    </w:p>
    <w:p w:rsidR="0026390C" w:rsidRDefault="00E458B4">
      <w:pPr>
        <w:pStyle w:val="af0"/>
        <w:spacing w:line="500" w:lineRule="exact"/>
        <w:ind w:firstLineChars="0" w:firstLine="0"/>
        <w:rPr>
          <w:rFonts w:ascii="宋体" w:eastAsia="宋体" w:hAnsi="宋体"/>
          <w:sz w:val="24"/>
        </w:rPr>
      </w:pPr>
      <w:r>
        <w:rPr>
          <w:rFonts w:ascii="宋体" w:eastAsia="宋体" w:hAnsi="宋体" w:hint="eastAsia"/>
          <w:sz w:val="24"/>
        </w:rPr>
        <w:t>2.3供应商收到确认的对账信息后开具发票。</w:t>
      </w:r>
    </w:p>
    <w:p w:rsidR="0026390C" w:rsidRDefault="00E458B4">
      <w:pPr>
        <w:pStyle w:val="af0"/>
        <w:tabs>
          <w:tab w:val="left" w:pos="709"/>
        </w:tabs>
        <w:ind w:firstLineChars="0" w:firstLine="0"/>
        <w:rPr>
          <w:rFonts w:ascii="宋体" w:eastAsia="宋体" w:hAnsi="宋体"/>
          <w:sz w:val="28"/>
          <w:szCs w:val="28"/>
        </w:rPr>
      </w:pPr>
      <w:r>
        <w:rPr>
          <w:rFonts w:ascii="宋体" w:eastAsia="宋体" w:hAnsi="宋体" w:hint="eastAsia"/>
          <w:sz w:val="24"/>
        </w:rPr>
        <w:t>2.4采购人收到发票后15个工作日</w:t>
      </w:r>
      <w:r>
        <w:rPr>
          <w:rFonts w:ascii="宋体" w:eastAsia="宋体" w:hAnsi="宋体"/>
          <w:sz w:val="24"/>
        </w:rPr>
        <w:t>内办理</w:t>
      </w:r>
      <w:r>
        <w:rPr>
          <w:rFonts w:ascii="宋体" w:eastAsia="宋体" w:hAnsi="宋体" w:hint="eastAsia"/>
          <w:sz w:val="24"/>
        </w:rPr>
        <w:t>付款手续。</w:t>
      </w:r>
    </w:p>
    <w:p w:rsidR="0026390C" w:rsidRDefault="00E458B4">
      <w:pPr>
        <w:pStyle w:val="af0"/>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其他</w:t>
      </w:r>
      <w:r>
        <w:rPr>
          <w:rFonts w:ascii="宋体" w:eastAsia="宋体" w:hAnsi="宋体"/>
          <w:sz w:val="28"/>
          <w:szCs w:val="28"/>
        </w:rPr>
        <w:t>需补充的需求</w:t>
      </w:r>
    </w:p>
    <w:p w:rsidR="0026390C" w:rsidRDefault="00E458B4">
      <w:pPr>
        <w:pStyle w:val="af0"/>
        <w:tabs>
          <w:tab w:val="left" w:pos="709"/>
        </w:tabs>
        <w:ind w:firstLineChars="0" w:firstLine="0"/>
        <w:rPr>
          <w:rFonts w:ascii="宋体" w:eastAsia="宋体" w:hAnsi="宋体"/>
          <w:sz w:val="28"/>
          <w:szCs w:val="28"/>
        </w:rPr>
      </w:pPr>
      <w:r>
        <w:rPr>
          <w:rFonts w:ascii="宋体" w:eastAsia="宋体" w:hAnsi="宋体" w:hint="eastAsia"/>
          <w:sz w:val="28"/>
          <w:szCs w:val="28"/>
        </w:rPr>
        <w:t>无</w:t>
      </w:r>
    </w:p>
    <w:sectPr w:rsidR="002639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F01" w:rsidRDefault="00E31F01" w:rsidP="00E645F0">
      <w:r>
        <w:separator/>
      </w:r>
    </w:p>
  </w:endnote>
  <w:endnote w:type="continuationSeparator" w:id="0">
    <w:p w:rsidR="00E31F01" w:rsidRDefault="00E31F01" w:rsidP="00E64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default"/>
    <w:sig w:usb0="00000000" w:usb1="00000000" w:usb2="0000003F" w:usb3="00000000" w:csb0="603F01FF" w:csb1="FFFF0000"/>
  </w:font>
  <w:font w:name="等线">
    <w:altName w:val="DengXian"/>
    <w:panose1 w:val="02010600030101010101"/>
    <w:charset w:val="86"/>
    <w:family w:val="auto"/>
    <w:pitch w:val="variable"/>
    <w:sig w:usb0="A00002BF" w:usb1="38CF7CFA" w:usb2="00000016" w:usb3="00000000" w:csb0="0004000F" w:csb1="00000000"/>
  </w:font>
  <w:font w:name="仿宋_GB2312">
    <w:altName w:val="汉仪仿宋KW"/>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F01" w:rsidRDefault="00E31F01" w:rsidP="00E645F0">
      <w:r>
        <w:separator/>
      </w:r>
    </w:p>
  </w:footnote>
  <w:footnote w:type="continuationSeparator" w:id="0">
    <w:p w:rsidR="00E31F01" w:rsidRDefault="00E31F01" w:rsidP="00E64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B5D9F5"/>
    <w:multiLevelType w:val="multilevel"/>
    <w:tmpl w:val="F4B5D9F5"/>
    <w:lvl w:ilvl="0">
      <w:start w:val="4"/>
      <w:numFmt w:val="decimal"/>
      <w:lvlText w:val="%1"/>
      <w:lvlJc w:val="left"/>
      <w:pPr>
        <w:ind w:left="82" w:hanging="254"/>
        <w:jc w:val="left"/>
      </w:pPr>
      <w:rPr>
        <w:rFonts w:hint="default"/>
      </w:rPr>
    </w:lvl>
    <w:lvl w:ilvl="1">
      <w:start w:val="3"/>
      <w:numFmt w:val="decimal"/>
      <w:lvlText w:val="%1.%2"/>
      <w:lvlJc w:val="left"/>
      <w:pPr>
        <w:ind w:left="82" w:hanging="254"/>
        <w:jc w:val="left"/>
      </w:pPr>
      <w:rPr>
        <w:rFonts w:ascii="宋体" w:eastAsia="宋体" w:hAnsi="宋体" w:cs="宋体" w:hint="default"/>
        <w:spacing w:val="-2"/>
        <w:w w:val="114"/>
        <w:sz w:val="24"/>
        <w:szCs w:val="24"/>
      </w:rPr>
    </w:lvl>
    <w:lvl w:ilvl="2">
      <w:numFmt w:val="bullet"/>
      <w:lvlText w:val="•"/>
      <w:lvlJc w:val="left"/>
      <w:pPr>
        <w:ind w:left="1541" w:hanging="254"/>
      </w:pPr>
      <w:rPr>
        <w:rFonts w:hint="default"/>
      </w:rPr>
    </w:lvl>
    <w:lvl w:ilvl="3">
      <w:numFmt w:val="bullet"/>
      <w:lvlText w:val="•"/>
      <w:lvlJc w:val="left"/>
      <w:pPr>
        <w:ind w:left="2272" w:hanging="254"/>
      </w:pPr>
      <w:rPr>
        <w:rFonts w:hint="default"/>
      </w:rPr>
    </w:lvl>
    <w:lvl w:ilvl="4">
      <w:numFmt w:val="bullet"/>
      <w:lvlText w:val="•"/>
      <w:lvlJc w:val="left"/>
      <w:pPr>
        <w:ind w:left="3003" w:hanging="254"/>
      </w:pPr>
      <w:rPr>
        <w:rFonts w:hint="default"/>
      </w:rPr>
    </w:lvl>
    <w:lvl w:ilvl="5">
      <w:numFmt w:val="bullet"/>
      <w:lvlText w:val="•"/>
      <w:lvlJc w:val="left"/>
      <w:pPr>
        <w:ind w:left="3734" w:hanging="254"/>
      </w:pPr>
      <w:rPr>
        <w:rFonts w:hint="default"/>
      </w:rPr>
    </w:lvl>
    <w:lvl w:ilvl="6">
      <w:numFmt w:val="bullet"/>
      <w:lvlText w:val="•"/>
      <w:lvlJc w:val="left"/>
      <w:pPr>
        <w:ind w:left="4465" w:hanging="254"/>
      </w:pPr>
      <w:rPr>
        <w:rFonts w:hint="default"/>
      </w:rPr>
    </w:lvl>
    <w:lvl w:ilvl="7">
      <w:numFmt w:val="bullet"/>
      <w:lvlText w:val="•"/>
      <w:lvlJc w:val="left"/>
      <w:pPr>
        <w:ind w:left="5196" w:hanging="254"/>
      </w:pPr>
      <w:rPr>
        <w:rFonts w:hint="default"/>
      </w:rPr>
    </w:lvl>
    <w:lvl w:ilvl="8">
      <w:numFmt w:val="bullet"/>
      <w:lvlText w:val="•"/>
      <w:lvlJc w:val="left"/>
      <w:pPr>
        <w:ind w:left="5927" w:hanging="254"/>
      </w:pPr>
      <w:rPr>
        <w:rFonts w:hint="default"/>
      </w:rPr>
    </w:lvl>
  </w:abstractNum>
  <w:abstractNum w:abstractNumId="1" w15:restartNumberingAfterBreak="0">
    <w:nsid w:val="0248C179"/>
    <w:multiLevelType w:val="multilevel"/>
    <w:tmpl w:val="0248C179"/>
    <w:lvl w:ilvl="0">
      <w:start w:val="1"/>
      <w:numFmt w:val="decimal"/>
      <w:lvlText w:val="%1."/>
      <w:lvlJc w:val="left"/>
      <w:pPr>
        <w:ind w:left="234" w:hanging="153"/>
        <w:jc w:val="left"/>
      </w:pPr>
      <w:rPr>
        <w:rFonts w:ascii="宋体" w:eastAsia="宋体" w:hAnsi="宋体" w:cs="宋体" w:hint="default"/>
        <w:spacing w:val="-2"/>
        <w:w w:val="114"/>
        <w:sz w:val="24"/>
        <w:szCs w:val="24"/>
      </w:rPr>
    </w:lvl>
    <w:lvl w:ilvl="1">
      <w:numFmt w:val="bullet"/>
      <w:lvlText w:val="•"/>
      <w:lvlJc w:val="left"/>
      <w:pPr>
        <w:ind w:left="954" w:hanging="153"/>
      </w:pPr>
      <w:rPr>
        <w:rFonts w:hint="default"/>
      </w:rPr>
    </w:lvl>
    <w:lvl w:ilvl="2">
      <w:numFmt w:val="bullet"/>
      <w:lvlText w:val="•"/>
      <w:lvlJc w:val="left"/>
      <w:pPr>
        <w:ind w:left="1669" w:hanging="153"/>
      </w:pPr>
      <w:rPr>
        <w:rFonts w:hint="default"/>
      </w:rPr>
    </w:lvl>
    <w:lvl w:ilvl="3">
      <w:numFmt w:val="bullet"/>
      <w:lvlText w:val="•"/>
      <w:lvlJc w:val="left"/>
      <w:pPr>
        <w:ind w:left="2384" w:hanging="153"/>
      </w:pPr>
      <w:rPr>
        <w:rFonts w:hint="default"/>
      </w:rPr>
    </w:lvl>
    <w:lvl w:ilvl="4">
      <w:numFmt w:val="bullet"/>
      <w:lvlText w:val="•"/>
      <w:lvlJc w:val="left"/>
      <w:pPr>
        <w:ind w:left="3099" w:hanging="153"/>
      </w:pPr>
      <w:rPr>
        <w:rFonts w:hint="default"/>
      </w:rPr>
    </w:lvl>
    <w:lvl w:ilvl="5">
      <w:numFmt w:val="bullet"/>
      <w:lvlText w:val="•"/>
      <w:lvlJc w:val="left"/>
      <w:pPr>
        <w:ind w:left="3814" w:hanging="153"/>
      </w:pPr>
      <w:rPr>
        <w:rFonts w:hint="default"/>
      </w:rPr>
    </w:lvl>
    <w:lvl w:ilvl="6">
      <w:numFmt w:val="bullet"/>
      <w:lvlText w:val="•"/>
      <w:lvlJc w:val="left"/>
      <w:pPr>
        <w:ind w:left="4529" w:hanging="153"/>
      </w:pPr>
      <w:rPr>
        <w:rFonts w:hint="default"/>
      </w:rPr>
    </w:lvl>
    <w:lvl w:ilvl="7">
      <w:numFmt w:val="bullet"/>
      <w:lvlText w:val="•"/>
      <w:lvlJc w:val="left"/>
      <w:pPr>
        <w:ind w:left="5244" w:hanging="153"/>
      </w:pPr>
      <w:rPr>
        <w:rFonts w:hint="default"/>
      </w:rPr>
    </w:lvl>
    <w:lvl w:ilvl="8">
      <w:numFmt w:val="bullet"/>
      <w:lvlText w:val="•"/>
      <w:lvlJc w:val="left"/>
      <w:pPr>
        <w:ind w:left="5959" w:hanging="153"/>
      </w:pPr>
      <w:rPr>
        <w:rFonts w:hint="default"/>
      </w:rPr>
    </w:lvl>
  </w:abstractNum>
  <w:abstractNum w:abstractNumId="2" w15:restartNumberingAfterBreak="0">
    <w:nsid w:val="4D4DC07F"/>
    <w:multiLevelType w:val="multilevel"/>
    <w:tmpl w:val="4D4DC07F"/>
    <w:lvl w:ilvl="0">
      <w:start w:val="4"/>
      <w:numFmt w:val="decimal"/>
      <w:lvlText w:val="%1."/>
      <w:lvlJc w:val="left"/>
      <w:pPr>
        <w:ind w:left="234" w:hanging="153"/>
        <w:jc w:val="left"/>
      </w:pPr>
      <w:rPr>
        <w:rFonts w:ascii="Arial Unicode MS" w:eastAsia="Arial Unicode MS" w:hAnsi="Arial Unicode MS" w:cs="Arial Unicode MS" w:hint="default"/>
        <w:spacing w:val="-2"/>
        <w:w w:val="114"/>
        <w:sz w:val="14"/>
        <w:szCs w:val="14"/>
      </w:rPr>
    </w:lvl>
    <w:lvl w:ilvl="1">
      <w:start w:val="1"/>
      <w:numFmt w:val="decimal"/>
      <w:lvlText w:val="%1.%2"/>
      <w:lvlJc w:val="left"/>
      <w:pPr>
        <w:ind w:left="82" w:hanging="254"/>
        <w:jc w:val="left"/>
      </w:pPr>
      <w:rPr>
        <w:rFonts w:ascii="宋体" w:eastAsia="宋体" w:hAnsi="宋体" w:cs="宋体" w:hint="default"/>
        <w:spacing w:val="-2"/>
        <w:w w:val="114"/>
        <w:sz w:val="24"/>
        <w:szCs w:val="24"/>
      </w:rPr>
    </w:lvl>
    <w:lvl w:ilvl="2">
      <w:numFmt w:val="bullet"/>
      <w:lvlText w:val="•"/>
      <w:lvlJc w:val="left"/>
      <w:pPr>
        <w:ind w:left="1034" w:hanging="254"/>
      </w:pPr>
      <w:rPr>
        <w:rFonts w:hint="default"/>
      </w:rPr>
    </w:lvl>
    <w:lvl w:ilvl="3">
      <w:numFmt w:val="bullet"/>
      <w:lvlText w:val="•"/>
      <w:lvlJc w:val="left"/>
      <w:pPr>
        <w:ind w:left="1828" w:hanging="254"/>
      </w:pPr>
      <w:rPr>
        <w:rFonts w:hint="default"/>
      </w:rPr>
    </w:lvl>
    <w:lvl w:ilvl="4">
      <w:numFmt w:val="bullet"/>
      <w:lvlText w:val="•"/>
      <w:lvlJc w:val="left"/>
      <w:pPr>
        <w:ind w:left="2623" w:hanging="254"/>
      </w:pPr>
      <w:rPr>
        <w:rFonts w:hint="default"/>
      </w:rPr>
    </w:lvl>
    <w:lvl w:ilvl="5">
      <w:numFmt w:val="bullet"/>
      <w:lvlText w:val="•"/>
      <w:lvlJc w:val="left"/>
      <w:pPr>
        <w:ind w:left="3417" w:hanging="254"/>
      </w:pPr>
      <w:rPr>
        <w:rFonts w:hint="default"/>
      </w:rPr>
    </w:lvl>
    <w:lvl w:ilvl="6">
      <w:numFmt w:val="bullet"/>
      <w:lvlText w:val="•"/>
      <w:lvlJc w:val="left"/>
      <w:pPr>
        <w:ind w:left="4211" w:hanging="254"/>
      </w:pPr>
      <w:rPr>
        <w:rFonts w:hint="default"/>
      </w:rPr>
    </w:lvl>
    <w:lvl w:ilvl="7">
      <w:numFmt w:val="bullet"/>
      <w:lvlText w:val="•"/>
      <w:lvlJc w:val="left"/>
      <w:pPr>
        <w:ind w:left="5006" w:hanging="254"/>
      </w:pPr>
      <w:rPr>
        <w:rFonts w:hint="default"/>
      </w:rPr>
    </w:lvl>
    <w:lvl w:ilvl="8">
      <w:numFmt w:val="bullet"/>
      <w:lvlText w:val="•"/>
      <w:lvlJc w:val="left"/>
      <w:pPr>
        <w:ind w:left="5800" w:hanging="254"/>
      </w:pPr>
      <w:rPr>
        <w:rFonts w:hint="default"/>
      </w:rPr>
    </w:lvl>
  </w:abstractNum>
  <w:abstractNum w:abstractNumId="3"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D816C96"/>
    <w:multiLevelType w:val="multilevel"/>
    <w:tmpl w:val="5D816C9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6BF44C8D"/>
    <w:multiLevelType w:val="multilevel"/>
    <w:tmpl w:val="6BF44C8D"/>
    <w:lvl w:ilvl="0">
      <w:start w:val="5"/>
      <w:numFmt w:val="decimal"/>
      <w:lvlText w:val="%1、"/>
      <w:lvlJc w:val="left"/>
      <w:pPr>
        <w:ind w:left="390" w:hanging="3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yOWM3OTNiZjFkMTMxNzg1ZDAwMDk4MmI3MmUwNDgifQ=="/>
    <w:docVar w:name="KGWebUrl" w:val="http://10.2.240.65:8888/seeyon/officeservlet"/>
  </w:docVars>
  <w:rsids>
    <w:rsidRoot w:val="00107C94"/>
    <w:rsid w:val="00075086"/>
    <w:rsid w:val="000E58BA"/>
    <w:rsid w:val="00101ECF"/>
    <w:rsid w:val="00107C94"/>
    <w:rsid w:val="001617AB"/>
    <w:rsid w:val="001E2694"/>
    <w:rsid w:val="00205F25"/>
    <w:rsid w:val="0026390C"/>
    <w:rsid w:val="00282EA2"/>
    <w:rsid w:val="00297C0D"/>
    <w:rsid w:val="002A148B"/>
    <w:rsid w:val="002A7A99"/>
    <w:rsid w:val="002B0A65"/>
    <w:rsid w:val="002F40C1"/>
    <w:rsid w:val="00310AC4"/>
    <w:rsid w:val="003307AC"/>
    <w:rsid w:val="003705BE"/>
    <w:rsid w:val="003C5B90"/>
    <w:rsid w:val="003F03D2"/>
    <w:rsid w:val="004A0EFF"/>
    <w:rsid w:val="004C6DDB"/>
    <w:rsid w:val="00522B5B"/>
    <w:rsid w:val="00564FE2"/>
    <w:rsid w:val="00575D11"/>
    <w:rsid w:val="006A1782"/>
    <w:rsid w:val="006A49A0"/>
    <w:rsid w:val="006E3C8A"/>
    <w:rsid w:val="007103C3"/>
    <w:rsid w:val="007315A2"/>
    <w:rsid w:val="00763D6C"/>
    <w:rsid w:val="00855B43"/>
    <w:rsid w:val="008C4BAC"/>
    <w:rsid w:val="0097794E"/>
    <w:rsid w:val="009A3121"/>
    <w:rsid w:val="009B3596"/>
    <w:rsid w:val="00AB0D1F"/>
    <w:rsid w:val="00B205D3"/>
    <w:rsid w:val="00B4026A"/>
    <w:rsid w:val="00D116B0"/>
    <w:rsid w:val="00D2583B"/>
    <w:rsid w:val="00D549CF"/>
    <w:rsid w:val="00D827C3"/>
    <w:rsid w:val="00DA28C4"/>
    <w:rsid w:val="00E31F01"/>
    <w:rsid w:val="00E458B4"/>
    <w:rsid w:val="00E645F0"/>
    <w:rsid w:val="00E957F8"/>
    <w:rsid w:val="00F047A7"/>
    <w:rsid w:val="00F14D47"/>
    <w:rsid w:val="01560B86"/>
    <w:rsid w:val="018A02FD"/>
    <w:rsid w:val="04087BF9"/>
    <w:rsid w:val="058D1B41"/>
    <w:rsid w:val="08193D8E"/>
    <w:rsid w:val="09D17B58"/>
    <w:rsid w:val="0C534163"/>
    <w:rsid w:val="0CE95092"/>
    <w:rsid w:val="0D5121DA"/>
    <w:rsid w:val="131C59E4"/>
    <w:rsid w:val="14552E88"/>
    <w:rsid w:val="14DB3E86"/>
    <w:rsid w:val="20B82C3D"/>
    <w:rsid w:val="22766FE0"/>
    <w:rsid w:val="256D5A53"/>
    <w:rsid w:val="274070F3"/>
    <w:rsid w:val="2AD90BA6"/>
    <w:rsid w:val="2BB11C0A"/>
    <w:rsid w:val="2DDB3D96"/>
    <w:rsid w:val="2F9E02E9"/>
    <w:rsid w:val="2FDA6BE7"/>
    <w:rsid w:val="31FF24C2"/>
    <w:rsid w:val="330B115C"/>
    <w:rsid w:val="33446593"/>
    <w:rsid w:val="377FFB19"/>
    <w:rsid w:val="465C079F"/>
    <w:rsid w:val="53A065D3"/>
    <w:rsid w:val="57821CCF"/>
    <w:rsid w:val="5FC2A729"/>
    <w:rsid w:val="624F6AFC"/>
    <w:rsid w:val="7BFB151D"/>
    <w:rsid w:val="7DD23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0795DF8-42DD-43A6-B330-D4D192DF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unhideWhenUsed/>
    <w:qFormat/>
    <w:pPr>
      <w:spacing w:after="120"/>
    </w:pPr>
  </w:style>
  <w:style w:type="paragraph" w:styleId="a4">
    <w:name w:val="Normal Indent"/>
    <w:basedOn w:val="a"/>
    <w:qFormat/>
    <w:pPr>
      <w:ind w:firstLine="420"/>
    </w:pPr>
  </w:style>
  <w:style w:type="paragraph" w:styleId="a5">
    <w:name w:val="annotation text"/>
    <w:basedOn w:val="a"/>
    <w:uiPriority w:val="99"/>
    <w:semiHidden/>
    <w:unhideWhenUsed/>
    <w:qFormat/>
    <w:pPr>
      <w:jc w:val="left"/>
    </w:pPr>
  </w:style>
  <w:style w:type="paragraph" w:styleId="a6">
    <w:name w:val="Body Text Indent"/>
    <w:basedOn w:val="a"/>
    <w:uiPriority w:val="99"/>
    <w:semiHidden/>
    <w:unhideWhenUsed/>
    <w:qFormat/>
    <w:pPr>
      <w:spacing w:after="120"/>
      <w:ind w:leftChars="200" w:left="42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table" w:styleId="ad">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qFormat/>
    <w:rPr>
      <w:b/>
    </w:rPr>
  </w:style>
  <w:style w:type="character" w:styleId="af">
    <w:name w:val="annotation reference"/>
    <w:basedOn w:val="a1"/>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c">
    <w:name w:val="页眉 字符"/>
    <w:basedOn w:val="a1"/>
    <w:link w:val="ab"/>
    <w:uiPriority w:val="99"/>
    <w:qFormat/>
    <w:rPr>
      <w:sz w:val="18"/>
      <w:szCs w:val="18"/>
    </w:rPr>
  </w:style>
  <w:style w:type="character" w:customStyle="1" w:styleId="aa">
    <w:name w:val="页脚 字符"/>
    <w:basedOn w:val="a1"/>
    <w:link w:val="a9"/>
    <w:uiPriority w:val="99"/>
    <w:qFormat/>
    <w:rPr>
      <w:sz w:val="18"/>
      <w:szCs w:val="18"/>
    </w:rPr>
  </w:style>
  <w:style w:type="paragraph" w:customStyle="1" w:styleId="af1">
    <w:name w:val="表格文字"/>
    <w:basedOn w:val="a"/>
    <w:qFormat/>
    <w:pPr>
      <w:widowControl/>
      <w:spacing w:before="25" w:after="25"/>
      <w:jc w:val="left"/>
    </w:pPr>
    <w:rPr>
      <w:rFonts w:ascii="Times New Roman" w:eastAsia="宋体" w:hAnsi="Times New Roman" w:cs="Times New Roman"/>
      <w:bCs/>
      <w:spacing w:val="10"/>
      <w:kern w:val="0"/>
      <w:sz w:val="24"/>
      <w:szCs w:val="20"/>
    </w:rPr>
  </w:style>
  <w:style w:type="paragraph" w:customStyle="1" w:styleId="Style20">
    <w:name w:val="_Style 20"/>
    <w:basedOn w:val="a6"/>
    <w:next w:val="a"/>
    <w:qFormat/>
    <w:pPr>
      <w:widowControl/>
      <w:spacing w:after="0"/>
      <w:ind w:leftChars="0" w:left="0"/>
      <w:jc w:val="left"/>
    </w:pPr>
    <w:rPr>
      <w:rFonts w:ascii="仿宋_GB2312" w:eastAsia="仿宋_GB2312" w:hAnsi="仿宋_GB2312" w:cs="Times New Roman"/>
      <w:kern w:val="0"/>
      <w:sz w:val="32"/>
      <w:szCs w:val="20"/>
    </w:r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customStyle="1" w:styleId="TableParagraph">
    <w:name w:val="Table Paragraph"/>
    <w:basedOn w:val="a"/>
    <w:uiPriority w:val="1"/>
    <w:unhideWhenUsed/>
    <w:qFormat/>
    <w:rPr>
      <w:sz w:val="24"/>
    </w:rPr>
  </w:style>
  <w:style w:type="character" w:customStyle="1" w:styleId="a8">
    <w:name w:val="批注框文本 字符"/>
    <w:basedOn w:val="a1"/>
    <w:link w:val="a7"/>
    <w:uiPriority w:val="99"/>
    <w:semiHidden/>
    <w:rPr>
      <w:rFonts w:asciiTheme="minorHAnsi" w:eastAsiaTheme="minorEastAsia" w:hAnsiTheme="minorHAnsi" w:cstheme="minorBidi"/>
      <w:kern w:val="2"/>
      <w:sz w:val="18"/>
      <w:szCs w:val="18"/>
    </w:rPr>
  </w:style>
  <w:style w:type="paragraph" w:styleId="af2">
    <w:name w:val="Revision"/>
    <w:hidden/>
    <w:uiPriority w:val="99"/>
    <w:semiHidden/>
    <w:rsid w:val="006A1782"/>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1169</Words>
  <Characters>6668</Characters>
  <Application>Microsoft Office Word</Application>
  <DocSecurity>0</DocSecurity>
  <Lines>55</Lines>
  <Paragraphs>15</Paragraphs>
  <ScaleCrop>false</ScaleCrop>
  <Company>Microsoft</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3</cp:revision>
  <dcterms:created xsi:type="dcterms:W3CDTF">2023-08-18T09:25:00Z</dcterms:created>
  <dcterms:modified xsi:type="dcterms:W3CDTF">2023-08-18T09:28:00Z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70BC743CE7E34792B92D7E5EAB96B053</vt:lpwstr>
  </property>
</Properties>
</file>