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260"/>
        </w:tabs>
        <w:spacing w:line="360" w:lineRule="auto"/>
        <w:rPr>
          <w:rFonts w:cs="宋体" w:asciiTheme="minorEastAsia" w:hAnsiTheme="minorEastAsia" w:eastAsiaTheme="minorEastAsia"/>
          <w:b/>
          <w:spacing w:val="100"/>
          <w:w w:val="110"/>
          <w:sz w:val="72"/>
          <w:szCs w:val="72"/>
        </w:rPr>
      </w:pPr>
    </w:p>
    <w:p>
      <w:pPr>
        <w:pStyle w:val="7"/>
        <w:tabs>
          <w:tab w:val="left" w:pos="1260"/>
        </w:tabs>
        <w:spacing w:line="360" w:lineRule="auto"/>
        <w:jc w:val="center"/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</w:pP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</w:rPr>
        <w:t>调研</w:t>
      </w: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  <w:t>资料</w:t>
      </w: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281" w:firstLineChars="100"/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项目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名称：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番禺中心医院医疗集团医学检验、检查项目</w:t>
      </w:r>
    </w:p>
    <w:p>
      <w:pPr>
        <w:pStyle w:val="6"/>
        <w:spacing w:line="360" w:lineRule="auto"/>
        <w:ind w:firstLine="1687" w:firstLineChars="600"/>
        <w:rPr>
          <w:rFonts w:hint="default" w:cs="宋体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委托检验服务项目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报名供应商名称（加盖公章）：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联系人：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联系电话：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地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址：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期：     年     月     日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0" w:name="_Toc28609"/>
      <w:bookmarkStart w:id="1" w:name="_Toc128474408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声 明</w:t>
      </w:r>
      <w:bookmarkEnd w:id="0"/>
      <w:bookmarkEnd w:id="1"/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10"/>
        <w:spacing w:before="156" w:beforeLines="50" w:after="156" w:afterLines="5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1.本次调研仅作为采购人编制采购需求的参考，参与本次调研并不代表取得订单。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2.本次调研的项目需求为本项目的初步需求，采购人可视调研情况进行调整。</w:t>
      </w:r>
    </w:p>
    <w:p>
      <w:pPr>
        <w:pStyle w:val="10"/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3.本项目严禁各供应商进行恶意串通、恶意竞争或其它违规行为，一经查实，将上报采购人。</w:t>
      </w:r>
    </w:p>
    <w:p>
      <w:pPr>
        <w:pStyle w:val="10"/>
        <w:spacing w:before="156" w:beforeLines="50" w:after="156" w:afterLines="50" w:line="36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4.供应商需为本次调研提交的所有资料真实性负责。</w:t>
      </w:r>
    </w:p>
    <w:p>
      <w:pPr>
        <w:spacing w:line="360" w:lineRule="auto"/>
        <w:rPr>
          <w:rFonts w:hint="default" w:asciiTheme="minorEastAsia" w:hAnsiTheme="minorEastAsia" w:eastAsiaTheme="minorEastAsia"/>
          <w:lang w:val="en-US" w:eastAsia="zh-CN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pStyle w:val="2"/>
        <w:spacing w:before="156" w:after="156" w:line="360" w:lineRule="auto"/>
        <w:rPr>
          <w:rFonts w:asciiTheme="minorEastAsia" w:hAnsiTheme="minorEastAsia" w:eastAsiaTheme="minorEastAsia"/>
        </w:rPr>
        <w:sectPr>
          <w:headerReference r:id="rId3" w:type="default"/>
          <w:pgSz w:w="11906" w:h="16838"/>
          <w:pgMar w:top="1440" w:right="1803" w:bottom="1440" w:left="1803" w:header="0" w:footer="907" w:gutter="0"/>
          <w:pgNumType w:start="1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/>
        </w:rPr>
        <w:id w:val="147473608"/>
        <w15:color w:val="DBDBDB"/>
        <w:docPartObj>
          <w:docPartGallery w:val="Table of Contents"/>
          <w:docPartUnique/>
        </w:docPartObj>
      </w:sdtPr>
      <w:sdtEndPr>
        <w:rPr>
          <w:rFonts w:hint="eastAsia" w:cs="宋体" w:asciiTheme="minorEastAsia" w:hAnsiTheme="minorEastAsia" w:eastAsiaTheme="minorEastAsia"/>
          <w:b/>
          <w:bCs/>
          <w:spacing w:val="10"/>
          <w:szCs w:val="27"/>
        </w:rPr>
      </w:sdtEndPr>
      <w:sdtContent>
        <w:p>
          <w:pPr>
            <w:jc w:val="center"/>
            <w:rPr>
              <w:rFonts w:cs="宋体" w:asciiTheme="minorEastAsia" w:hAnsiTheme="minorEastAsia" w:eastAsiaTheme="minorEastAsia"/>
              <w:b/>
              <w:bCs/>
              <w:sz w:val="40"/>
              <w:szCs w:val="40"/>
            </w:rPr>
          </w:pPr>
          <w:bookmarkStart w:id="2" w:name="_Toc133103939"/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目</w:t>
          </w:r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  <w:lang w:val="en-US" w:eastAsia="zh-CN"/>
            </w:rPr>
            <w:t xml:space="preserve">  </w:t>
          </w:r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录</w:t>
          </w:r>
        </w:p>
        <w:p>
          <w:pPr>
            <w:pStyle w:val="10"/>
            <w:rPr>
              <w:rFonts w:eastAsia="宋体"/>
              <w:b w:val="0"/>
              <w:smallCaps w:val="0"/>
              <w:sz w:val="28"/>
            </w:rPr>
          </w:pP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 w:val="28"/>
              <w:szCs w:val="28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_Toc2331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 xml:space="preserve">一、 </w:t>
          </w:r>
          <w:r>
            <w:rPr>
              <w:rFonts w:hint="eastAsia" w:ascii="仿宋" w:hAnsi="仿宋" w:eastAsia="仿宋" w:cs="仿宋"/>
              <w:b w:val="0"/>
              <w:bCs w:val="0"/>
            </w:rPr>
            <w:t>营业执照</w:t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及相关资质证书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_Toc2331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2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_Toc11115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 xml:space="preserve">二、 </w:t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报价表（加盖公章）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_Toc11115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3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_Toc19086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三、 检验项目服务清单响应表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_Toc19086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4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4"/>
              <w:tab w:val="clear" w:pos="8302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_Toc15645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（一） 子包一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_Toc15645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4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4"/>
              <w:tab w:val="clear" w:pos="8302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_Toc3834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（二） 子包二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_Toc3834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9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4"/>
              <w:tab w:val="clear" w:pos="8302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_Toc4215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（三） 子包三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_Toc4215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11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_Toc2996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四、 服务方案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_Toc2996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26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_Toc11284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五、 近一年同类项目业绩（后附成交合同附件关键页）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_Toc11284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27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>
          <w:pPr>
            <w:spacing w:before="54" w:line="360" w:lineRule="auto"/>
            <w:rPr>
              <w:rFonts w:cs="宋体" w:asciiTheme="minorEastAsia" w:hAnsiTheme="minorEastAsia" w:eastAsiaTheme="minorEastAsia"/>
              <w:b/>
              <w:bCs/>
              <w:spacing w:val="10"/>
              <w:sz w:val="27"/>
              <w:szCs w:val="27"/>
            </w:rPr>
            <w:sectPr>
              <w:footerReference r:id="rId4" w:type="default"/>
              <w:pgSz w:w="11910" w:h="16840"/>
              <w:pgMar w:top="1361" w:right="1803" w:bottom="1440" w:left="1803" w:header="0" w:footer="680" w:gutter="0"/>
              <w:pgNumType w:start="1"/>
              <w:cols w:space="720" w:num="1"/>
            </w:sect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</w:sdtContent>
    </w:sdt>
    <w:p>
      <w:pPr>
        <w:pStyle w:val="2"/>
        <w:bidi w:val="0"/>
        <w:rPr>
          <w:rFonts w:hint="eastAsia"/>
          <w:lang w:val="en-US" w:eastAsia="zh-CN"/>
        </w:rPr>
      </w:pPr>
      <w:bookmarkStart w:id="3" w:name="_Toc2331"/>
      <w:r>
        <w:rPr>
          <w:rFonts w:hint="eastAsia"/>
        </w:rPr>
        <w:t>营业执照</w:t>
      </w:r>
      <w:bookmarkEnd w:id="2"/>
      <w:r>
        <w:rPr>
          <w:rFonts w:hint="eastAsia"/>
          <w:lang w:val="en-US" w:eastAsia="zh-CN"/>
        </w:rPr>
        <w:t>及相关资质证书</w:t>
      </w:r>
      <w:bookmarkEnd w:id="3"/>
    </w:p>
    <w:p>
      <w:pPr>
        <w:numPr>
          <w:ilvl w:val="0"/>
          <w:numId w:val="3"/>
        </w:numPr>
        <w:bidi w:val="0"/>
        <w:spacing w:line="360" w:lineRule="auto"/>
        <w:rPr>
          <w:rFonts w:hint="eastAsia"/>
        </w:rPr>
      </w:pPr>
      <w:r>
        <w:rPr>
          <w:rFonts w:hint="default"/>
          <w:lang w:val="en-US" w:eastAsia="zh-CN"/>
        </w:rPr>
        <w:t>营业执照</w:t>
      </w:r>
      <w:r>
        <w:rPr>
          <w:rFonts w:hint="eastAsia"/>
        </w:rPr>
        <w:t>复印件（加盖供应商单位公章）</w:t>
      </w:r>
    </w:p>
    <w:p>
      <w:pPr>
        <w:numPr>
          <w:ilvl w:val="0"/>
          <w:numId w:val="3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>企业相关资质认证证书（附证书复印件）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14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</w:pPr>
      <w:bookmarkStart w:id="4" w:name="_Toc11115"/>
      <w:r>
        <w:rPr>
          <w:rFonts w:hint="eastAsia"/>
          <w:lang w:val="en-US" w:eastAsia="zh-CN"/>
        </w:rPr>
        <w:t>报价表（加盖公章）</w:t>
      </w:r>
      <w:bookmarkEnd w:id="4"/>
    </w:p>
    <w:p>
      <w:pPr>
        <w:widowControl/>
        <w:kinsoku w:val="0"/>
        <w:autoSpaceDE w:val="0"/>
        <w:autoSpaceDN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1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8"/>
          <w:kern w:val="0"/>
          <w:sz w:val="32"/>
          <w:szCs w:val="32"/>
        </w:rPr>
        <w:t>报价一览表</w:t>
      </w:r>
    </w:p>
    <w:tbl>
      <w:tblPr>
        <w:tblStyle w:val="1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480"/>
        <w:gridCol w:w="1773"/>
        <w:gridCol w:w="1374"/>
        <w:gridCol w:w="1840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517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项目名称：番禺中心医院医疗集团医学检验、检查项目委托检验服务项目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79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包组号</w:t>
            </w:r>
          </w:p>
        </w:tc>
        <w:tc>
          <w:tcPr>
            <w:tcW w:w="1480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采购预算</w:t>
            </w:r>
          </w:p>
        </w:tc>
        <w:tc>
          <w:tcPr>
            <w:tcW w:w="1773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采购内容</w:t>
            </w:r>
          </w:p>
        </w:tc>
        <w:tc>
          <w:tcPr>
            <w:tcW w:w="1374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参与报价</w:t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折扣率</w:t>
            </w:r>
          </w:p>
        </w:tc>
        <w:tc>
          <w:tcPr>
            <w:tcW w:w="771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9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子包1</w:t>
            </w:r>
          </w:p>
        </w:tc>
        <w:tc>
          <w:tcPr>
            <w:tcW w:w="1480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610万元</w:t>
            </w:r>
          </w:p>
        </w:tc>
        <w:tc>
          <w:tcPr>
            <w:tcW w:w="1773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检验服务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sym w:font="Wingdings 2" w:char="00A3"/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79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子包2</w:t>
            </w:r>
          </w:p>
        </w:tc>
        <w:tc>
          <w:tcPr>
            <w:tcW w:w="1480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300万元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检验服务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sym w:font="Wingdings 2" w:char="00A3"/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9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子包3</w:t>
            </w:r>
          </w:p>
        </w:tc>
        <w:tc>
          <w:tcPr>
            <w:tcW w:w="1480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1230万元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检验服务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sym w:font="Wingdings 2" w:char="00A3"/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771" w:type="dxa"/>
            <w:vAlign w:val="center"/>
          </w:tcPr>
          <w:p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</w:rPr>
            </w:pPr>
          </w:p>
        </w:tc>
      </w:tr>
    </w:tbl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4"/>
        </w:rPr>
        <w:t>注：</w:t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1.请</w:t>
      </w: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在</w:t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参与调研的包组对应</w:t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中勾选并进行报价</w:t>
      </w: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。</w:t>
      </w: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2.供应商对项目整体报出结算折扣率</w:t>
      </w: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委托检验项目检验费×折扣率=委托检验项目服务费</w:t>
      </w: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。</w:t>
      </w:r>
      <w:bookmarkStart w:id="15" w:name="_GoBack"/>
      <w:bookmarkEnd w:id="15"/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.服务费包含投标人完成对委托检验项目的一切费用，包括标本的接收、运输、检测、报告、临床意义解读、售后服务、人力成本、保险等所有费用</w:t>
      </w: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。</w:t>
      </w: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6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  <w:t>.本次供应商的调研响应报价不代表最终投标价格。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Calibri" w:hAnsi="Calibri" w:eastAsia="仿宋" w:cs="Times New Roman"/>
          <w:snapToGrid/>
          <w:kern w:val="2"/>
          <w:sz w:val="28"/>
          <w:szCs w:val="24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供应商名称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(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加盖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公章)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：</w:t>
      </w: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日期：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年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月  日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5" w:name="_Toc19086"/>
      <w:bookmarkStart w:id="6" w:name="_Toc133103948"/>
      <w:r>
        <w:rPr>
          <w:rFonts w:hint="eastAsia"/>
          <w:lang w:val="en-US" w:eastAsia="zh-CN"/>
        </w:rPr>
        <w:t>检验项目服务清单响应表</w:t>
      </w:r>
      <w:bookmarkEnd w:id="5"/>
    </w:p>
    <w:p>
      <w:pP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请供应商选择参与调研的对应包组进行响应，不参与调研的包组可自行删除。</w:t>
      </w:r>
    </w:p>
    <w:p>
      <w:pPr>
        <w:pStyle w:val="3"/>
        <w:bidi w:val="0"/>
        <w:jc w:val="left"/>
        <w:rPr>
          <w:rFonts w:hint="eastAsia"/>
          <w:lang w:val="en-US" w:eastAsia="zh-CN"/>
        </w:rPr>
      </w:pPr>
      <w:bookmarkStart w:id="7" w:name="_Toc15645"/>
      <w:r>
        <w:rPr>
          <w:rFonts w:hint="eastAsia"/>
          <w:lang w:val="en-US" w:eastAsia="zh-CN"/>
        </w:rPr>
        <w:t>子包一</w:t>
      </w:r>
      <w:bookmarkEnd w:id="7"/>
    </w:p>
    <w:tbl>
      <w:tblPr>
        <w:tblStyle w:val="13"/>
        <w:tblW w:w="8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71"/>
        <w:gridCol w:w="964"/>
        <w:gridCol w:w="1587"/>
        <w:gridCol w:w="860"/>
        <w:gridCol w:w="1653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000000"/>
                <w:kern w:val="0"/>
                <w:sz w:val="24"/>
                <w:szCs w:val="20"/>
              </w:rPr>
              <w:t>检测项目名称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000000"/>
                <w:kern w:val="0"/>
                <w:sz w:val="24"/>
                <w:szCs w:val="20"/>
              </w:rPr>
              <w:t>检测方法学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000000"/>
                <w:kern w:val="0"/>
                <w:sz w:val="24"/>
                <w:szCs w:val="20"/>
              </w:rPr>
              <w:t>报告时限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0"/>
              </w:rPr>
              <w:t>是否响应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0"/>
                <w:sz w:val="24"/>
                <w:szCs w:val="20"/>
              </w:rPr>
              <w:t>如不响应，请列明使用的检测方法及报告时限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幽门螺杆菌23srRNA基因与gyrA基因突变检测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PCR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≤3个工作日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实体瘤378基因高通量测序ctDNA检测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≤10个工作日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实体瘤378基因高通量测序组织检测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≤10个工作日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实体瘤687基因高通量测序（ctDNA）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≤10个工作日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实体瘤687基因高通量测序（组织版）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≤10个工作日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实体瘤223基因检测（ctDNA版）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≤10个工作日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实体瘤223基因检测（组织版）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≤10个工作日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等线" w:cs="Times New Roman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Mammaprint 乳腺癌复发风险评估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≤9个工作日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肿瘤组织起源基因检测（90基因检测）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RT-PCR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≤7个自然日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肺癌MRD检测（组织+血液版）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≤10个自然日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分子残留病灶检测（血液版)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脑胶质瘤临床12项基因检测（组织版）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≤10自然日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分子残留病灶检测（组织+血液版)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≤9个工作日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微卫星不稳定基因检测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荧光pcr-毛细管电泳法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≤5个工作日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七氟醚-瑞芬太尼疗效预测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QPCR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H型高血压/脑卒中遗传风险评估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QPCR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静脉血栓发病风险检测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QPCR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基因重排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荧光pcr-毛细管电泳法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≤3个工作日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结核分枝杆菌复合群核酸检测（组织）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PCR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HPV自动化检测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PCR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≤3个工作日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甲状腺癌8基因检测（PCR）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PCR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≤3个工作日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甲状腺癌18基因检测（NGS）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top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同源重组修复（HRR）相关基因检测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肺癌37基因个体化用药检测（组织版）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肺癌37基因个体化用药检测（血液版）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结直肠癌42基因个体化用药检测（组织版）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结直肠癌42基因个体化用药检测（血液版）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胃癌/食管癌42基因个体化用药基因检测（组织版）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乳腺癌61基因个体化用药检测报告（组织版）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子宫内膜癌61基因个体化用药检测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妇科肿瘤61基因个体化用药检测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胃肠道间质瘤42基因个体化用药检测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前列腺癌58基因个体化用药检测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胰腺癌58基因个体化用药检测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黑色素瘤14基因个体化用药检测(血液版)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黑色素瘤14基因个体化用药检测(组织版)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遗传性消化道肿瘤26基因检测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实体瘤化疗用药基因检测（高通量测序法）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RNF180和Septin9基因甲基化联合检测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荧光PCR法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≤5个工作日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SHOX2/RASSF1A/PTGER4基因甲基化检测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PCR荧光探针法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≤5个工作日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人SHOX2、RASSF1A基因甲基化DNA检测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PCR荧光探针法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≤5个工作日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人Twist1基因甲基化检测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荧光PCR法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≤5个工作日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人ASTN1、DLX1、ITGA4、RXFP3、SOX17、ZNF671基因甲基化检测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荧光PCR法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≤5个工作日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486基因全景癌症相关基因检测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5-7个工作日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泛实体瘤117个融合基因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5-7个工作日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中枢神经系统肿瘤494基因全景检测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5-7个工作日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软组织与骨肿瘤506基因全景检测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5-7个工作日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软组织与骨肿瘤201基因融合检测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5-7个工作日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HRD score+BRCA1/2+HRR全覆盖，精准指导用药方案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5-7个工作日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实体瘤769基因检测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5-7个工作日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4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融合基因检测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5-7个工作日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w w:val="11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阳性位点验证（1个位点）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脱氧核糖核酸(DNA)测序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5-7工作日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w w:val="11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7大癌种早期筛查检测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20个自然日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w w:val="11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实体瘤精准治疗1267基因检测+PD-L1表达检测+CD8+TIL检测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NGS+IHC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7-9 个自然日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w w:val="11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实体瘤精准治疗1267基因检测+PD-L1表达检测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NGS+IHC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6-8 个自然日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w w:val="11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多色免疫荧光（六标七色）检测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m IF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14 个自然日内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w w:val="11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实体瘤601基因检测（ctDNA版）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7-10个工作日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w w:val="11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实体瘤601因检测（组织版）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高通量基因测序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w w:val="11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</w:rPr>
              <w:t>7-10个工作日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bookmarkStart w:id="8" w:name="_Toc3834"/>
      <w:r>
        <w:rPr>
          <w:rFonts w:hint="eastAsia"/>
          <w:lang w:val="en-US" w:eastAsia="zh-CN"/>
        </w:rPr>
        <w:t>子包二</w:t>
      </w:r>
      <w:bookmarkEnd w:id="8"/>
    </w:p>
    <w:tbl>
      <w:tblPr>
        <w:tblStyle w:val="13"/>
        <w:tblW w:w="82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027"/>
        <w:gridCol w:w="1067"/>
        <w:gridCol w:w="1733"/>
        <w:gridCol w:w="733"/>
        <w:gridCol w:w="1427"/>
        <w:gridCol w:w="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  <w:t>检测项目名称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  <w:t>检测方法学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4"/>
                <w:szCs w:val="24"/>
              </w:rPr>
              <w:t>报告时限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0"/>
                <w:sz w:val="24"/>
                <w:szCs w:val="24"/>
              </w:rPr>
              <w:t>是否响应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0"/>
                <w:sz w:val="24"/>
                <w:szCs w:val="24"/>
              </w:rPr>
              <w:t>如不响应，请列明使用的检测方法及报告时限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color w:val="000000"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胎儿染色体非整倍体检测（NIPT）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高通量测序法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≤10个工作日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color w:val="000000"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胎儿染色体非整倍体检测-中级套餐（检测内容至少包括21、18、13三体，45，XO、47，XXY染色体非整倍体变异，以及≥10种特定染色体缺失重复综合征。染色体上的片段长度&gt;10Mb的重复或缺失以补充报告形式告知。提供脱敏检验报告复印件）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高通量测序法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≤10个工作日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color w:val="000000"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胎儿染色体非整倍体检测-高级套餐（检测内容包括21、18、13三体，性染色体非整倍体，其他常染色体非整倍体，以及≥92种特定基因拷贝数变异疾病。提供脱敏检验报告复印件）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高通量测序法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≤10个工作日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color w:val="000000"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CNV-seq-100K（检测100Kb以上基因拷贝数变异。提供脱敏检验报告复印件）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高通量测序法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≤12个工作日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CNV-seq-1M（检测1M以上基因拷贝数变异。提供脱敏检验报告复印件）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高通量测序法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≤10个工作日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遗传性耳聋4个基因检测（GJB2、GJB3、SLC26A4、MT-RNR1四个基因20个常见位点）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高通量测序法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≤7个工作日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遗传性耳聋NGS中Panel基因检测(检测不少于18个遗传性耳聋相关基因的108个位点。提供脱敏检验报告复印件)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高通量测序法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≤12个工作日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遗传性耳聋NGS大Panel基因检测（检测不少于218个遗传性耳聋相关的基因。提供脱敏检验报告复印件）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高通量测序法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5" w:after="25"/>
              <w:jc w:val="center"/>
              <w:rPr>
                <w:rFonts w:hint="eastAsia" w:ascii="宋体" w:hAnsi="宋体" w:eastAsia="宋体" w:cs="宋体"/>
                <w:bCs/>
                <w:color w:val="000000"/>
                <w:spacing w:val="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kern w:val="0"/>
                <w:sz w:val="22"/>
                <w:szCs w:val="22"/>
                <w:lang w:val="en-US" w:eastAsia="zh-CN" w:bidi="ar-SA"/>
              </w:rPr>
              <w:t>≤30个工作日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bookmarkStart w:id="9" w:name="_Toc4215"/>
      <w:r>
        <w:rPr>
          <w:rFonts w:hint="eastAsia"/>
          <w:lang w:val="en-US" w:eastAsia="zh-CN"/>
        </w:rPr>
        <w:t>子包三</w:t>
      </w:r>
      <w:bookmarkEnd w:id="9"/>
    </w:p>
    <w:tbl>
      <w:tblPr>
        <w:tblStyle w:val="13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984"/>
        <w:gridCol w:w="1531"/>
        <w:gridCol w:w="1524"/>
        <w:gridCol w:w="840"/>
        <w:gridCol w:w="1293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  <w:t>序号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  <w:t>检测项目名称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  <w:t>检测方法学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  <w:t>报告时限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  <w:t>是否响应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  <w:t>如不响应，请列明使用的检测方法及报告时限</w:t>
            </w: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24小时尿液醛固酮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尿儿茶酚胺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高效液相色谱质谱法(LC-MS/MS)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血儿茶酚胺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高效液相色谱质谱法(LC-MS/MS)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尿儿茶酚胺六项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高效液相色谱质谱法(LC-MS/MS)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血儿茶酚胺六项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高效液相色谱质谱法(LC-MS/MS)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促甲状腺激素受体刺激性抗体（TSI）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17-羟皮质类固醇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均相酶免法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17-酮皮质类固醇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均相酶免法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双氢睾酮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曲霉菌抗原检测、念珠菌抗原（甘露聚糖）检测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军团菌抗体IgM测定(LEG-IgM)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酶联免疫吸附法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布鲁菌病抗体四项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凝集反应、胶体金法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钩端螺旋体抗体IgG(LEP-IgG)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酶联免疫吸附法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艰难梭菌抗原GDH及毒素A和B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酶联免疫层析法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寄生虫七项、包虫、肝吸虫抗体IgG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酶联免疫吸附法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结核感染T细胞斑点实验(T-SPOT.TB)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酶联免疫斑点法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呼吸道多种病原体靶向测序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二代测序+多重PCR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马尔尼菲篮状菌抗原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免疫荧光层析法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抗磷脂酶A2受体抗体IgG定量检测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磁微粒化学发光法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抗c1q-igg抗体定量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酶联免疫吸附法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尿α1-微球蛋白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免疫透射比浊法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尿蛋白电泳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化学发光法+琼脂糖凝胶电泳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胃肠道抗体ASCA两项(GP2-IgG、GP2-IgA)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胃肠道抗体ASCA两项(ASCA-IgG、ASCA-IgA)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血浆蛋白C活性测定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发色底物法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血浆蛋白S活性测定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凝固法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狼疮样抗凝物质筛查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凝固法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易栓症（AT-III、PC、PS、LA1+LA2）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凝固法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抑制素B(INB)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Y染色体微缺失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PCR-毛细管电泳法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CADASIL病NOTCH3基因热点突变区域检测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HLA-B*1502基因多态性检测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肝豆状核变性ATP7B基因全外显子检测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总IgE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电化学发光法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封闭抗体（血小板特异性和组织相关融性(HLA)抗体）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酶联免疫吸附法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抗核抗体定量测定(ANA)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间接免疫荧光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抗角质蛋白抗体(AKA)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间接免疫荧光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抗核周因子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间接免疫荧光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ANCA二项PANCA、CANCA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间接免疫荧光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抗平滑肌抗体(ASMA)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间接免疫荧光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抗线粒体抗体(AMA)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间接免疫荧光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中枢神经特异蛋白（S100β）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脑脊液免疫定量及蛋白分析综合诊断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电泳法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全外显子组测序家系（Trio）及先证者线粒体DNA测序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家系全外显子检测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人类全外显子检测（临床）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线粒体DNA全长检测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LR-PCR+高通量测序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免疫固定蛋白电泳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免疫固定电泳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尿本周氏蛋白电泳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琼脂糖凝胶电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异常免疫球蛋白血症(9项)综合诊断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免疫比浊法+计算法+琼脂糖凝胶电泳法+毛细管电泳法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抗双链DNA定量测定(dsDNA)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乳糖不耐受检测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酶层析法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高灵敏度丙型肝炎RNA定量检测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实时PCR（内标法）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丙型肝炎病毒RNA基因分型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百日咳杆菌核酸检测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PCR-荧光探针法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诺如病毒RNA荧光定性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FQ-PCR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常规肾脏病理检查（荧光7+特染3）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HE染色/特殊染色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肾脏全套电镜检查与诊断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透射电镜检查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肾脏病理单独电镜检查与诊断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透射电镜检查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肾脏病理免疫电镜2项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免疫电镜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肾脏病理免疫荧光1项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免疫荧光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肾脏病理特殊特染1项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特殊染色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肾脏病理免疫组化1项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免疫组织化学组织染色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肾脏病理会诊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疑难病理会诊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肾脏病理检查制片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特殊染色及酶组织化学染色诊断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肾脏病理光镜检查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光镜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肾脏病理切片扫描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显微摄影术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骨髓组织活检评估套餐（1项特染+3项免疫组化）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HE染色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骨髓组织活检评估套餐(1项特染+8项免疫组化)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HE染色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淋巴造血组织病理诊断套餐(病理诊断+10项免疫组化)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HE染色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≤10个工作日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淋巴造血组织病理诊断套餐(病理诊断+15项免疫组化+EBER原位杂交)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HE染色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≤10个工作日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AML相关基因突变检测（中级）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多发性骨髓瘤分子核型分析(浆细胞富集),细胞生物学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MPN相关基因突变检测（中级）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MPN相关基因突变及融合检测（中级套餐）（组合）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aCML与CNL鉴别相关基因突变融合检测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CML疾病进展相关基因突变检测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MDS/MPN相关基因突变检测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MDS相关基因突变检测（中级）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MDS相关基因突变及融合检测（中级套餐）（组合）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ph like ALL相关基因突变融合表达检测套餐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ALL相关基因突变及融合检测（中级套餐）（组合）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TCRG基因重排检测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default" w:ascii="宋体" w:hAnsi="宋体" w:eastAsia="宋体" w:cs="宋体"/>
                <w:snapToGrid/>
                <w:kern w:val="2"/>
                <w:sz w:val="22"/>
                <w:szCs w:val="22"/>
                <w:u w:val="none"/>
              </w:rPr>
              <w:t>片段分析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lgH基因重排检测（片段分析）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default" w:ascii="宋体" w:hAnsi="宋体" w:eastAsia="宋体" w:cs="宋体"/>
                <w:snapToGrid/>
                <w:kern w:val="2"/>
                <w:sz w:val="22"/>
                <w:szCs w:val="22"/>
                <w:u w:val="none"/>
              </w:rPr>
              <w:t>片段分析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血液肿瘤WT1基因突变检测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MYD88基因L265P突变检测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JAK2基因突变检测(Sanger测序,外显子12&amp;13)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血液肿瘤CALR基因突变检测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血液肿瘤MPL基因突变检测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髓系白血病中常见融合基因筛查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PML/RARA分型定量（初诊）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淋系白血病中常见融合基因筛查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BCR/ABL1分型定量（初诊）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PML-RARα融合基因bcr-3(S型)定量检测(RQ-PCR)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PML-RARα融合基因bcr-2(V型)定量检测(RQ-PCR)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PML-RARα融合基因bcr-1(L型)定量检测(RQ-PCR)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PML-RARα融合基因检测(定性)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CBFβ-MYH11融合基因定量检测(RQ-PCR)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AML1-ETO(RUNX1-RUNX1T1)定量检测(RQ-PCR)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WT1基因定量检测(RQ-PCR)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BCR-ABL1(p190)融合基因定量检测(RQ-PCR)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BCR-ABL1(p230)融合基因定量检测(RQ-PCR)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BCR-ABL1(p210)融合基因定量检测(RQ-PCR)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BCR-ABL1融合基因分型(定性)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NPM1-ALK定量检测(RQ-PCR)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实时荧光定量PCR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JAK2基因V617F突变定性检测(PCR)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RT-PCR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血清免疫固定电泳（DYIF）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琼脂糖凝胶电泳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血清免疫固定电泳(lgD+lgE)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琼脂糖凝胶电泳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尿免疫固定电泳(UIF)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琼脂糖凝胶电泳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三打击淋巴瘤FISH套餐（骨髓，血液标本）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外周血染色体核型分析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培养法G/R显带、脱氧核糖核酸(DNA)测序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骨髓染色体核型分析—加急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培养法G/R显带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E2A(TCF3)基因重排检测(FISH)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PDGFRa基因重排检测(FIP1L1/CHIC2/PDGFRa,FISH)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JAK2基因重排检测(FISH)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FGFR1基因(8p11)重排检测(FISH)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p53基因(17p13.1)缺失检测(FISH)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RB1(13q14)基因缺失(FISH)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ATM基因(11q22)缺失检测(FISH)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+12(CEP12,FISH)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+8(CEP8,FISH)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IGH/CCND1融合基因检测(血液，FISH)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IGH/MYC融合基因检测(血液，FISH)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MYC基因重排检测(血液，FISH)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BCL2基因重排(血液,FISH)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BCL6基因重排检测(血液,FISH)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IGH/BCL2融合基因检测(血液,FISH)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13q14.3/13q34(D13S319/13q34,FISH)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MDS fish套餐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C-MYC基因扩增检测(血液,FISH)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多发性骨髓瘤FISH诊断套餐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多发性骨髓瘤lGH阳性套餐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FISH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HLA高分辨配型HLA-A/B/C/DRBI/DQBI/DPBI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GS/SBT（基于基因测序的分型法）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骨髓移植供体细胞DNA嵌合率检测(供者+移植前受者+移植后受者)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片段分析法(毛细管电泳法)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骨髓移植供体细胞DNA嵌合率检测(供者+移植前受者)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片段分析法(毛细管电泳法)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骨髓移植供体细胞DNA嵌合率检测(移植后受者)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片段分析法(毛细管电泳法)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血管性假性血友病因子（VWF）抗原测定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免疫比浊法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免疫球蛋白G1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免疫比浊法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免疫球蛋白G2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免疫比浊法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免疫球蛋白G3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免疫比浊法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免疫球蛋白G4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免疫比浊法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抗内因子抗体,抗胃壁细胞抗体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酶联免疫吸附法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丁型肝炎病毒IgG抗体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酶联免疫吸附法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丁型肝炎抗原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酶联免疫吸附法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麻疹病毒抗体二项 MV-IgM、MV-IgG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酶联免疫吸附法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柯萨奇病毒二项CSV-IgM、CSV-IgG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酶联免疫吸附法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抗子宫内膜抗体lgM测定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ELISA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抗子宫内膜抗体lgG测定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ELISA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抗子宫内膜抗体 EmAb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ELISA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≤4个工作日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抗卵巢抗体AoAb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ELISA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抗HCG抗体AhcgAb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ELISA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大麻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免疫层析法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可卡因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免疫层析法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米氮平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高效液相色谱-串联质谱法或方法学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尿香草扁桃酸VMA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均相酶免法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可溶性生长刺激表达基因2蛋白ST2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磁微粒化学发光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甘胆酸CG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免疫比浊法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不规则抗体筛查UAST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微柱凝胶法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血型单特异性抗体鉴定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微柱凝胶法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类风湿因子分型定量检测（RF-IgG,IgA,IgM）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血管炎五项（P-ANCA，C-ANCA，ANCA-MPO，ANCA-PR3，ACA）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间接免疫荧光法和免疫印迹法和ELISA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血管炎两项定量（PR3、MPO）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涎液化糖链抗原（KL-6）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抗磷脂综合征六项（aCL-IgG/IgM/IgA、β2GP1-IgG/IgM/IgA）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巯嘌呤类药物安全用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 xml:space="preserve">药基因检测 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B细胞精细亚群（总B淋巴细胞，过渡期B淋巴细胞，初始B淋巴细胞，边缘区B淋巴细胞，记忆性B细胞，经典免疫球蛋白类别转换B淋巴细胞，非免疫球蛋白类别转换B淋巴细胞，浆细胞等相关指标）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流式细胞术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分枝杆菌菌种鉴定靶向测序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多重靶向扩增-高通量测序法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结核分枝杆菌复合群及耐药基因靶向测序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多重靶向扩增-高通量测序法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铜蓝蛋白测定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免疫透射比浊法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高敏HBV DNA测定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实时PCR(内标法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HBV核苷类似物耐药基因检测（HBV耐药突变株检测）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基因测序法（Sanger测序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水痘带状疱疹病毒(VZV-DNA)定性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PCR法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T淋巴细胞亚群、B细胞、NK细胞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流式细胞术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急慢性白血病/NHL/MDS全面CD系列检测(40CD)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流式细胞术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急慢性白血病CD系列检测(28CD)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流式细胞术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微小残留白血病检测(15CD，可提供既往完整免疫表型信息)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流式细胞术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高通量测序阳性位点后续检测(高通量测序,血液肿瘤)高通量测序positive site follow-up test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B-ALL相关基因突变检测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T-ALL相关基因突变检测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ALL/LBL相关基因突变检测（中级）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IGHV基因突变检测(高通量测序,血液肿瘤)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多发性骨髓瘤多基因突变检测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成熟B细胞淋巴瘤相关基因突变检测（中级套餐）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成熟T/NK细胞淋巴瘤相关基因突变检测（中级套餐）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弥漫大B细胞淋巴瘤相关基因突变检测（中级套餐）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LPL/WM相关基因测序检测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≤15个自然日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骨髓全自动免疫组化一项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全自动免疫组化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骨髓免疫组化一项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免疫组化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疑难病理会诊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HE染色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骨髓组织活检评估套餐(1项特染+16项免疫组化)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HE染色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发作性睡病HLA易感基因检测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维生素B12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尿液有机酸检测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气相色谱质谱法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肌肉活检检查与诊断+免疫组化（炎性肌病）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冰冻切片检查与诊断+显微摄影术+免疫组化+特殊染色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神经源性肌病、肌原纤维肌病、先天性肌病等</w:t>
            </w:r>
          </w:p>
        </w:tc>
        <w:tc>
          <w:tcPr>
            <w:tcW w:w="1531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冰冻切片检查与诊断+显微摄影术+免疫组化+特殊染色</w:t>
            </w:r>
          </w:p>
        </w:tc>
        <w:tc>
          <w:tcPr>
            <w:tcW w:w="1524" w:type="dxa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≤15个工作日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noWrap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神经遗传全外显子组检测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假肥大型肌营养不良DMD基因检测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周期性麻痹和先天性肌强直/副肌强直相关基因检测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肌张力障碍相关基因检测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脊肌萎缩症（SMA）SMN1基因筛查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荧光PCR法-毛细管电泳法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成人神经退行性疾病相关基因检测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遗传性痉挛性截瘫相关基因检测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高通量测序+MLPA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遗传性痴呆症相关基因检测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高通量测序+MLPA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遗传性脑白质营养不良和白质脑病相关基因检测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遗传性淀粉样变性周围神经病TTR基因检测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遗传性脑血管病相关基因检测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单基因脑小血管病相关基因检测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结节性硬化症TSC1与TSC2基因检测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MLPA+高通量测序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遗传性神经肌肉病相关基因检测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APOE基因检测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荧光PCR法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≤14个自然日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癫痫相关扩展基因检测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遗传代谢病相关基因检测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苯丙酮尿症相关基因检测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高通量测序+MLPA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酪氨酸血症/希特林蛋白缺乏症相关基因检测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甲基丙二酸血症及相关代谢通路基因检测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脂肪酸氧化与肉碱循环缺陷相关基因检测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糖原累积症相关基因检测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戈谢病GBA基因检测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LR-PCR+高通量测序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粘多糖症相关基因检测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血卟啉病相关基因检测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神经纤维瘤NF1与NF2基因检测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遗传性血栓及其它出凝血异常相关基因检测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深静脉血栓形成相关基因检测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Alport综合征相关基因检测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高通量测序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中枢神经系统多种病原体靶向测序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多重PCR+二代测序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上呼吸道多种病原体靶向测序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多重PCR+二代测序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凝血酶-抗凝血酶Ⅲ复合物检测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纤溶酶-a2纤溶酶抑制剂复合体检测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血栓调节蛋白检测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组织型纤溶酶原激活剂-抑制剂1复合体检测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血栓前4项检测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γ干扰素释放试验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ELISA法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结核TB-RNA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实时PCR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≤4个自然日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曲霉菌特异性IgE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荧光酶免法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遗传性肾病相关基因检测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NGS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α-GaLA酶活性检测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比色法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≤10个自然日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流行性出血热抗体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免疫胶体金法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抗GMB抗体定量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促红细胞生成素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尿转铁蛋白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免疫比浊法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病原微生物核酸高通量测序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NGS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血清肿瘤相关物质TM检测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比色法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胸苷激酶（TK1）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化学发光法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≤2个自然日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溶酶体贮积症酶学检测十六项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比色法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≤7个自然日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尿α1微球蛋白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免疫比浊法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</w:rPr>
              <w:t>≤3个自然日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246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苯妥英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均相酶免法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247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卡马西平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均相酶免法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248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甲氨喋呤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均相酶免法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249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雷帕霉素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免疫学法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250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霉酚酸酯（骁悉）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均相酶免法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251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环孢素浓度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均相酶免法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252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茶碱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均相酶免法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9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right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253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丙戊酸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均相酶免法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2"/>
                <w:szCs w:val="22"/>
              </w:rPr>
              <w:t>≤3个工作日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 w:val="0"/>
              <w:kinsoku w:val="0"/>
              <w:overflowPunct w:val="0"/>
              <w:autoSpaceDE/>
              <w:autoSpaceDN/>
              <w:adjustRightInd/>
              <w:snapToGrid/>
              <w:spacing w:before="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0" w:name="_Toc2996"/>
      <w:r>
        <w:rPr>
          <w:rFonts w:hint="eastAsia"/>
          <w:lang w:val="en-US" w:eastAsia="zh-CN"/>
        </w:rPr>
        <w:t>服务方案</w:t>
      </w:r>
      <w:bookmarkEnd w:id="6"/>
      <w:bookmarkEnd w:id="10"/>
    </w:p>
    <w:tbl>
      <w:tblPr>
        <w:tblStyle w:val="1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112"/>
        <w:gridCol w:w="5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1" w:name="_Toc10990"/>
            <w:bookmarkStart w:id="12" w:name="_Toc1566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应急服务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服务承诺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培训服务承诺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其他承诺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.......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bookmarkEnd w:id="11"/>
    <w:bookmarkEnd w:id="12"/>
    <w:p>
      <w:pPr>
        <w:rPr>
          <w:rFonts w:hint="eastAsia"/>
          <w:lang w:val="en-US" w:eastAsia="zh-CN"/>
        </w:rPr>
      </w:pPr>
      <w:bookmarkStart w:id="13" w:name="_Toc133103949"/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4" w:name="_Toc11284"/>
      <w:r>
        <w:rPr>
          <w:rFonts w:hint="eastAsia"/>
          <w:lang w:val="en-US" w:eastAsia="zh-CN"/>
        </w:rPr>
        <w:t>近一年同类项目业绩</w:t>
      </w:r>
      <w:bookmarkEnd w:id="13"/>
      <w:r>
        <w:rPr>
          <w:rFonts w:hint="eastAsia"/>
          <w:lang w:val="en-US" w:eastAsia="zh-CN"/>
        </w:rPr>
        <w:t>（后附成交合同附件关键页）</w:t>
      </w:r>
      <w:bookmarkEnd w:id="14"/>
    </w:p>
    <w:tbl>
      <w:tblPr>
        <w:tblStyle w:val="1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907"/>
        <w:gridCol w:w="1569"/>
        <w:gridCol w:w="1479"/>
        <w:gridCol w:w="139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19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2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8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  <w:t>项目预算</w:t>
            </w:r>
          </w:p>
        </w:tc>
        <w:tc>
          <w:tcPr>
            <w:tcW w:w="82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  <w:t>中标价</w:t>
            </w:r>
          </w:p>
        </w:tc>
        <w:tc>
          <w:tcPr>
            <w:tcW w:w="765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注：请提供不少于三份历史成交项目，如中标价为下浮率/折扣率，请一并写明。</w:t>
      </w:r>
    </w:p>
    <w:p/>
    <w:p/>
    <w:sectPr>
      <w:footerReference r:id="rId5" w:type="default"/>
      <w:pgSz w:w="11910" w:h="16840"/>
      <w:pgMar w:top="1431" w:right="1803" w:bottom="1429" w:left="1803" w:header="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2C0AA"/>
    <w:multiLevelType w:val="singleLevel"/>
    <w:tmpl w:val="A6F2C0AA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28"/>
        <w:szCs w:val="28"/>
      </w:rPr>
    </w:lvl>
  </w:abstractNum>
  <w:abstractNum w:abstractNumId="1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08C239BB"/>
    <w:multiLevelType w:val="multilevel"/>
    <w:tmpl w:val="08C239BB"/>
    <w:lvl w:ilvl="0" w:tentative="0">
      <w:start w:val="1"/>
      <w:numFmt w:val="chineseCountingThousand"/>
      <w:pStyle w:val="3"/>
      <w:lvlText w:val="（%1）"/>
      <w:lvlJc w:val="left"/>
      <w:pPr>
        <w:ind w:left="35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BB479D"/>
    <w:multiLevelType w:val="multilevel"/>
    <w:tmpl w:val="2CBB479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368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AyOGJmZTViYzZlNzczMjQ4NTlkMTFjZDI0NTAwODUifQ=="/>
  </w:docVars>
  <w:rsids>
    <w:rsidRoot w:val="002C3762"/>
    <w:rsid w:val="00034FA7"/>
    <w:rsid w:val="00042EC7"/>
    <w:rsid w:val="000A3FB1"/>
    <w:rsid w:val="000A404E"/>
    <w:rsid w:val="00123699"/>
    <w:rsid w:val="00181F44"/>
    <w:rsid w:val="001D711C"/>
    <w:rsid w:val="001E27ED"/>
    <w:rsid w:val="001F47B2"/>
    <w:rsid w:val="00217996"/>
    <w:rsid w:val="002864F0"/>
    <w:rsid w:val="002C3762"/>
    <w:rsid w:val="004A74CE"/>
    <w:rsid w:val="004B63C8"/>
    <w:rsid w:val="00516520"/>
    <w:rsid w:val="0054409E"/>
    <w:rsid w:val="005965FE"/>
    <w:rsid w:val="005F5A7E"/>
    <w:rsid w:val="00643F78"/>
    <w:rsid w:val="00705D1E"/>
    <w:rsid w:val="0078792D"/>
    <w:rsid w:val="00804FFF"/>
    <w:rsid w:val="00827F39"/>
    <w:rsid w:val="008561F2"/>
    <w:rsid w:val="00892DC2"/>
    <w:rsid w:val="0090776C"/>
    <w:rsid w:val="00923EFD"/>
    <w:rsid w:val="009A7605"/>
    <w:rsid w:val="009B5683"/>
    <w:rsid w:val="00A36475"/>
    <w:rsid w:val="00A71901"/>
    <w:rsid w:val="00AD54BB"/>
    <w:rsid w:val="00AE3DCA"/>
    <w:rsid w:val="00B50BB4"/>
    <w:rsid w:val="00B53623"/>
    <w:rsid w:val="00B56B4A"/>
    <w:rsid w:val="00B91CCB"/>
    <w:rsid w:val="00C57EC1"/>
    <w:rsid w:val="00CA7C64"/>
    <w:rsid w:val="00D34F3F"/>
    <w:rsid w:val="00DC044C"/>
    <w:rsid w:val="00DD1F41"/>
    <w:rsid w:val="00E00C52"/>
    <w:rsid w:val="00E548D9"/>
    <w:rsid w:val="00E75778"/>
    <w:rsid w:val="00E801B7"/>
    <w:rsid w:val="00EC1769"/>
    <w:rsid w:val="00EC6352"/>
    <w:rsid w:val="00F40DC6"/>
    <w:rsid w:val="00FD29F0"/>
    <w:rsid w:val="00FE157E"/>
    <w:rsid w:val="016E2F6B"/>
    <w:rsid w:val="051931EE"/>
    <w:rsid w:val="05476E8D"/>
    <w:rsid w:val="05816FE5"/>
    <w:rsid w:val="059A234D"/>
    <w:rsid w:val="08EB30F3"/>
    <w:rsid w:val="0AB67731"/>
    <w:rsid w:val="0B704E0D"/>
    <w:rsid w:val="0E3E3CC5"/>
    <w:rsid w:val="0E6B25E0"/>
    <w:rsid w:val="0EE505E5"/>
    <w:rsid w:val="0F313EDE"/>
    <w:rsid w:val="0F346E76"/>
    <w:rsid w:val="108E71AB"/>
    <w:rsid w:val="10FF5D0B"/>
    <w:rsid w:val="13A96027"/>
    <w:rsid w:val="15AA32AC"/>
    <w:rsid w:val="15F035A2"/>
    <w:rsid w:val="16E318AE"/>
    <w:rsid w:val="199A216E"/>
    <w:rsid w:val="1C580648"/>
    <w:rsid w:val="1D631DC4"/>
    <w:rsid w:val="1DFF3A8A"/>
    <w:rsid w:val="24166CB2"/>
    <w:rsid w:val="25875AFA"/>
    <w:rsid w:val="26E0111F"/>
    <w:rsid w:val="29E94DD9"/>
    <w:rsid w:val="2AD64894"/>
    <w:rsid w:val="2C8903AA"/>
    <w:rsid w:val="2DB87198"/>
    <w:rsid w:val="2FDE6C5E"/>
    <w:rsid w:val="319121DA"/>
    <w:rsid w:val="31F431A8"/>
    <w:rsid w:val="34496D9C"/>
    <w:rsid w:val="34E50E91"/>
    <w:rsid w:val="38910D12"/>
    <w:rsid w:val="38CA4224"/>
    <w:rsid w:val="391D7808"/>
    <w:rsid w:val="39564831"/>
    <w:rsid w:val="3AB24F6F"/>
    <w:rsid w:val="3B3F2CA7"/>
    <w:rsid w:val="3D807E30"/>
    <w:rsid w:val="41605725"/>
    <w:rsid w:val="42407FFD"/>
    <w:rsid w:val="434B7D0F"/>
    <w:rsid w:val="44380293"/>
    <w:rsid w:val="44894F93"/>
    <w:rsid w:val="44FC5765"/>
    <w:rsid w:val="4B5069ED"/>
    <w:rsid w:val="4BC437E9"/>
    <w:rsid w:val="5005420D"/>
    <w:rsid w:val="50F11C80"/>
    <w:rsid w:val="52A33962"/>
    <w:rsid w:val="545B317C"/>
    <w:rsid w:val="59892411"/>
    <w:rsid w:val="5B172EA1"/>
    <w:rsid w:val="5BB0266F"/>
    <w:rsid w:val="5F88085E"/>
    <w:rsid w:val="62866D50"/>
    <w:rsid w:val="672A5D0A"/>
    <w:rsid w:val="674D6646"/>
    <w:rsid w:val="6BC2493D"/>
    <w:rsid w:val="6D4A4A10"/>
    <w:rsid w:val="6E7F7204"/>
    <w:rsid w:val="6EC66318"/>
    <w:rsid w:val="6F1E7F02"/>
    <w:rsid w:val="700A50C7"/>
    <w:rsid w:val="70516C52"/>
    <w:rsid w:val="733E0CE8"/>
    <w:rsid w:val="73C05A2C"/>
    <w:rsid w:val="75081F4A"/>
    <w:rsid w:val="752D5803"/>
    <w:rsid w:val="75C64C11"/>
    <w:rsid w:val="769136B0"/>
    <w:rsid w:val="76CE6D0D"/>
    <w:rsid w:val="77731007"/>
    <w:rsid w:val="77D975C3"/>
    <w:rsid w:val="792F4AAF"/>
    <w:rsid w:val="794B72F4"/>
    <w:rsid w:val="7A3E58FC"/>
    <w:rsid w:val="7B7B764C"/>
    <w:rsid w:val="7B8C6B3B"/>
    <w:rsid w:val="7D405AD8"/>
    <w:rsid w:val="7D851E75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" w:cs="Arial"/>
      <w:snapToGrid w:val="0"/>
      <w:color w:val="000000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ascii="Arial" w:hAnsi="Arial" w:eastAsia="仿宋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2"/>
      </w:numPr>
      <w:spacing w:before="240" w:after="240"/>
      <w:ind w:left="420"/>
      <w:outlineLvl w:val="1"/>
    </w:pPr>
    <w:rPr>
      <w:rFonts w:ascii="Arial" w:hAnsi="Arial" w:eastAsia="仿宋"/>
      <w:b/>
      <w:bCs/>
      <w:sz w:val="28"/>
      <w:szCs w:val="32"/>
    </w:rPr>
  </w:style>
  <w:style w:type="paragraph" w:styleId="4">
    <w:name w:val="heading 3"/>
    <w:next w:val="1"/>
    <w:qFormat/>
    <w:uiPriority w:val="0"/>
    <w:pPr>
      <w:keepNext/>
      <w:kinsoku w:val="0"/>
      <w:autoSpaceDE w:val="0"/>
      <w:autoSpaceDN w:val="0"/>
      <w:adjustRightInd w:val="0"/>
      <w:snapToGrid w:val="0"/>
      <w:textAlignment w:val="baseline"/>
      <w:outlineLvl w:val="2"/>
    </w:pPr>
    <w:rPr>
      <w:rFonts w:ascii="楷体_GB2312" w:hAnsi="宋体" w:eastAsia="黑体" w:cs="Arial"/>
      <w:b/>
      <w:bCs/>
      <w:snapToGrid w:val="0"/>
      <w:color w:val="000000"/>
      <w:sz w:val="32"/>
      <w:szCs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hAnsi="Calibri" w:eastAsia="仿宋_GB2312" w:cs="Times New Roman"/>
      <w:sz w:val="32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8302"/>
      </w:tabs>
    </w:pPr>
    <w:rPr>
      <w:rFonts w:ascii="仿宋_GB2312" w:hAnsi="仿宋" w:eastAsia="仿宋_GB2312" w:cs="Times New Roman"/>
      <w:b/>
      <w:smallCaps/>
    </w:rPr>
  </w:style>
  <w:style w:type="paragraph" w:styleId="1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WPSOffice手动目录 1"/>
    <w:qFormat/>
    <w:uiPriority w:val="0"/>
    <w:rPr>
      <w:rFonts w:ascii="Arial" w:hAnsi="Arial" w:cs="Arial" w:eastAsiaTheme="minorEastAsia"/>
      <w:lang w:val="en-US" w:eastAsia="zh-CN" w:bidi="ar-SA"/>
    </w:rPr>
  </w:style>
  <w:style w:type="paragraph" w:customStyle="1" w:styleId="20">
    <w:name w:val="WPSOffice手动目录 2"/>
    <w:qFormat/>
    <w:uiPriority w:val="0"/>
    <w:pPr>
      <w:ind w:left="200" w:leftChars="200"/>
    </w:pPr>
    <w:rPr>
      <w:rFonts w:ascii="Arial" w:hAnsi="Arial" w:cs="Arial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</Words>
  <Characters>390</Characters>
  <Lines>19</Lines>
  <Paragraphs>5</Paragraphs>
  <TotalTime>1</TotalTime>
  <ScaleCrop>false</ScaleCrop>
  <LinksUpToDate>false</LinksUpToDate>
  <CharactersWithSpaces>435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2023-04-21T16:48:00Z</dcterms:created>
  <dc:creator>Kingsoft-PDF</dc:creator>
  <cp:lastModifiedBy>youke</cp:lastModifiedBy>
  <dcterms:modified xsi:type="dcterms:W3CDTF">2023-09-14T07:28:23Z</dcterms:modified>
  <dc:subject>pdfbuilder</dc:subject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2023-04-21T16:48:19Z</vt:filetime>
  </property>
  <property fmtid="{D5CDD505-2E9C-101B-9397-08002B2CF9AE}" pid="4" name="UsrData">
    <vt:lpwstr>64424dca0d38b70015f9b1b4</vt:lpwstr>
  </property>
  <property fmtid="{D5CDD505-2E9C-101B-9397-08002B2CF9AE}" pid="5" name="KSOProductBuildVer">
    <vt:lpwstr>2052-12.1.0.15374</vt:lpwstr>
  </property>
  <property fmtid="{D5CDD505-2E9C-101B-9397-08002B2CF9AE}" pid="6" name="ICV">
    <vt:lpwstr>DC4E91C20B6E45F0B9A7F87305B9384E_13</vt:lpwstr>
  </property>
</Properties>
</file>