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cs="宋体"/>
          <w:b/>
          <w:sz w:val="36"/>
          <w:szCs w:val="24"/>
        </w:rPr>
      </w:pPr>
      <w:bookmarkStart w:id="0" w:name="_GoBack"/>
      <w:bookmarkEnd w:id="0"/>
      <w:r>
        <w:rPr>
          <w:rFonts w:hint="eastAsia" w:ascii="宋体" w:hAnsi="宋体" w:cs="宋体"/>
          <w:b/>
          <w:sz w:val="36"/>
          <w:szCs w:val="24"/>
        </w:rPr>
        <w:t>番禺中心医院医疗集团病媒生物防制服务项目</w:t>
      </w:r>
    </w:p>
    <w:p>
      <w:pPr>
        <w:jc w:val="center"/>
        <w:rPr>
          <w:rFonts w:ascii="宋体" w:hAnsi="宋体" w:cs="宋体"/>
          <w:b/>
          <w:sz w:val="36"/>
          <w:szCs w:val="24"/>
        </w:rPr>
      </w:pPr>
      <w:r>
        <w:rPr>
          <w:rFonts w:hint="eastAsia" w:ascii="宋体" w:hAnsi="宋体" w:cs="宋体"/>
          <w:b/>
          <w:sz w:val="36"/>
          <w:szCs w:val="24"/>
        </w:rPr>
        <w:t>用户需求书</w:t>
      </w:r>
    </w:p>
    <w:p>
      <w:pPr>
        <w:spacing w:before="156" w:beforeLines="50" w:after="156" w:afterLines="50" w:line="360" w:lineRule="auto"/>
        <w:jc w:val="center"/>
        <w:rPr>
          <w:rFonts w:ascii="宋体" w:hAnsi="宋体" w:cs="宋体"/>
          <w:b/>
          <w:sz w:val="36"/>
          <w:szCs w:val="24"/>
        </w:rPr>
      </w:pPr>
    </w:p>
    <w:p>
      <w:pPr>
        <w:numPr>
          <w:ilvl w:val="0"/>
          <w:numId w:val="1"/>
        </w:numPr>
        <w:tabs>
          <w:tab w:val="left" w:pos="709"/>
          <w:tab w:val="left" w:pos="993"/>
        </w:tabs>
        <w:spacing w:before="156" w:beforeLines="50" w:after="156" w:afterLines="50" w:line="360" w:lineRule="auto"/>
        <w:ind w:hanging="988"/>
        <w:rPr>
          <w:rFonts w:ascii="宋体" w:hAnsi="宋体" w:cs="宋体"/>
          <w:b/>
          <w:sz w:val="24"/>
          <w:szCs w:val="24"/>
        </w:rPr>
      </w:pPr>
      <w:r>
        <w:rPr>
          <w:rFonts w:hint="eastAsia" w:ascii="宋体" w:hAnsi="宋体" w:cs="宋体"/>
          <w:b/>
          <w:sz w:val="24"/>
          <w:szCs w:val="24"/>
        </w:rPr>
        <w:t>项目概况</w:t>
      </w:r>
    </w:p>
    <w:p>
      <w:pPr>
        <w:spacing w:line="360" w:lineRule="auto"/>
        <w:ind w:firstLine="484" w:firstLineChars="202"/>
        <w:rPr>
          <w:rFonts w:ascii="宋体" w:hAnsi="宋体" w:cs="宋体"/>
          <w:sz w:val="24"/>
          <w:szCs w:val="24"/>
        </w:rPr>
      </w:pPr>
      <w:r>
        <w:rPr>
          <w:rFonts w:hint="eastAsia" w:ascii="宋体" w:hAnsi="宋体" w:cs="宋体"/>
          <w:sz w:val="24"/>
          <w:szCs w:val="24"/>
        </w:rPr>
        <w:t>1、项目名称</w:t>
      </w:r>
      <w:r>
        <w:rPr>
          <w:rFonts w:ascii="宋体" w:hAnsi="宋体" w:cs="宋体"/>
          <w:sz w:val="24"/>
          <w:szCs w:val="24"/>
        </w:rPr>
        <w:t>：</w:t>
      </w:r>
      <w:r>
        <w:rPr>
          <w:rFonts w:hint="eastAsia" w:ascii="宋体" w:hAnsi="宋体" w:cs="宋体"/>
          <w:sz w:val="24"/>
          <w:szCs w:val="24"/>
        </w:rPr>
        <w:t>番禺中心医院医疗集团病媒生物防制服务项目</w:t>
      </w:r>
    </w:p>
    <w:p>
      <w:pPr>
        <w:spacing w:line="360" w:lineRule="auto"/>
        <w:ind w:firstLine="484" w:firstLineChars="202"/>
        <w:rPr>
          <w:rFonts w:ascii="宋体" w:hAnsi="宋体" w:cs="宋体"/>
          <w:sz w:val="24"/>
          <w:szCs w:val="24"/>
        </w:rPr>
      </w:pPr>
      <w:r>
        <w:rPr>
          <w:rFonts w:ascii="宋体" w:hAnsi="宋体" w:cs="宋体"/>
          <w:sz w:val="24"/>
          <w:szCs w:val="24"/>
        </w:rPr>
        <w:t>2</w:t>
      </w:r>
      <w:r>
        <w:rPr>
          <w:rFonts w:hint="eastAsia" w:ascii="宋体" w:hAnsi="宋体" w:cs="宋体"/>
          <w:sz w:val="24"/>
          <w:szCs w:val="24"/>
        </w:rPr>
        <w:t>、服务期限：</w:t>
      </w:r>
      <w:r>
        <w:rPr>
          <w:rFonts w:ascii="宋体" w:hAnsi="宋体" w:cs="宋体"/>
          <w:sz w:val="24"/>
          <w:szCs w:val="24"/>
        </w:rPr>
        <w:t>本项目服务期为</w:t>
      </w:r>
      <w:r>
        <w:rPr>
          <w:rFonts w:hint="eastAsia" w:ascii="宋体" w:hAnsi="宋体" w:cs="宋体"/>
          <w:sz w:val="24"/>
          <w:szCs w:val="24"/>
        </w:rPr>
        <w:t>一</w:t>
      </w:r>
      <w:r>
        <w:rPr>
          <w:rFonts w:ascii="宋体" w:hAnsi="宋体" w:cs="宋体"/>
          <w:sz w:val="24"/>
          <w:szCs w:val="24"/>
        </w:rPr>
        <w:t>年（合同签订</w:t>
      </w:r>
      <w:r>
        <w:rPr>
          <w:rFonts w:hint="eastAsia" w:ascii="宋体" w:hAnsi="宋体" w:cs="宋体"/>
          <w:sz w:val="24"/>
          <w:szCs w:val="24"/>
        </w:rPr>
        <w:t>之日起</w:t>
      </w:r>
      <w:r>
        <w:rPr>
          <w:rFonts w:ascii="宋体" w:hAnsi="宋体" w:cs="宋体"/>
          <w:sz w:val="24"/>
          <w:szCs w:val="24"/>
        </w:rPr>
        <w:t>计算）</w:t>
      </w:r>
    </w:p>
    <w:p>
      <w:pPr>
        <w:pStyle w:val="18"/>
        <w:ind w:firstLine="0" w:firstLineChars="0"/>
        <w:rPr>
          <w:sz w:val="24"/>
        </w:rPr>
      </w:pPr>
    </w:p>
    <w:p>
      <w:pPr>
        <w:numPr>
          <w:ilvl w:val="0"/>
          <w:numId w:val="1"/>
        </w:numPr>
        <w:tabs>
          <w:tab w:val="left" w:pos="709"/>
          <w:tab w:val="left" w:pos="993"/>
        </w:tabs>
        <w:spacing w:before="156" w:beforeLines="50" w:after="156" w:afterLines="50" w:line="360" w:lineRule="auto"/>
        <w:ind w:hanging="988"/>
        <w:rPr>
          <w:rFonts w:ascii="宋体" w:hAnsi="宋体" w:cs="宋体"/>
          <w:b/>
          <w:sz w:val="24"/>
          <w:szCs w:val="24"/>
        </w:rPr>
      </w:pPr>
      <w:r>
        <w:rPr>
          <w:rFonts w:hint="eastAsia" w:ascii="宋体" w:hAnsi="宋体" w:cs="宋体"/>
          <w:b/>
          <w:sz w:val="24"/>
          <w:szCs w:val="24"/>
        </w:rPr>
        <w:t>报价说明</w:t>
      </w:r>
    </w:p>
    <w:p>
      <w:pPr>
        <w:tabs>
          <w:tab w:val="left" w:pos="709"/>
        </w:tabs>
        <w:spacing w:line="360" w:lineRule="auto"/>
        <w:ind w:firstLine="480" w:firstLineChars="200"/>
        <w:rPr>
          <w:rFonts w:ascii="宋体" w:hAnsi="宋体" w:cs="宋体"/>
          <w:sz w:val="24"/>
          <w:szCs w:val="24"/>
        </w:rPr>
      </w:pPr>
      <w:r>
        <w:rPr>
          <w:rFonts w:hint="eastAsia" w:ascii="宋体" w:hAnsi="宋体" w:cs="宋体"/>
          <w:sz w:val="24"/>
          <w:szCs w:val="24"/>
        </w:rPr>
        <w:t>报价包括：工具机械费、喷杀投药药物费、人员工资、福利、保险、加班费、突发性应急增加消杀作业费、劳保费、福利费、保险费、风险金和税费、利润、不可预见费等在项目实施过程中的全部费用，响应供应商报价中漏报、少报的费用，视为此项费用已隐含在响应报价中，响应供应商成交后不得再向采购人收取任何增加费用。</w:t>
      </w:r>
    </w:p>
    <w:tbl>
      <w:tblPr>
        <w:tblStyle w:val="8"/>
        <w:tblW w:w="4862"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193"/>
        <w:gridCol w:w="409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9" w:hRule="atLeast"/>
          <w:jc w:val="center"/>
        </w:trPr>
        <w:tc>
          <w:tcPr>
            <w:tcW w:w="2530" w:type="pct"/>
          </w:tcPr>
          <w:p>
            <w:pPr>
              <w:tabs>
                <w:tab w:val="left" w:pos="0"/>
              </w:tabs>
              <w:spacing w:line="360" w:lineRule="auto"/>
              <w:jc w:val="center"/>
              <w:rPr>
                <w:rFonts w:ascii="宋体" w:hAnsi="宋体" w:cs="宋体"/>
                <w:b/>
                <w:sz w:val="24"/>
                <w:szCs w:val="24"/>
              </w:rPr>
            </w:pPr>
            <w:r>
              <w:rPr>
                <w:rFonts w:hint="eastAsia" w:ascii="宋体" w:hAnsi="宋体" w:cs="宋体"/>
                <w:b/>
                <w:sz w:val="24"/>
                <w:szCs w:val="24"/>
              </w:rPr>
              <w:t>院区</w:t>
            </w:r>
          </w:p>
        </w:tc>
        <w:tc>
          <w:tcPr>
            <w:tcW w:w="2470" w:type="pct"/>
          </w:tcPr>
          <w:p>
            <w:pPr>
              <w:tabs>
                <w:tab w:val="left" w:pos="0"/>
              </w:tabs>
              <w:spacing w:line="360" w:lineRule="auto"/>
              <w:jc w:val="center"/>
              <w:rPr>
                <w:rFonts w:ascii="宋体" w:hAnsi="宋体" w:cs="宋体"/>
                <w:b/>
                <w:sz w:val="24"/>
                <w:szCs w:val="24"/>
              </w:rPr>
            </w:pPr>
            <w:r>
              <w:rPr>
                <w:rFonts w:hint="eastAsia" w:ascii="宋体" w:hAnsi="宋体" w:cs="宋体"/>
                <w:b/>
                <w:sz w:val="24"/>
                <w:szCs w:val="24"/>
              </w:rPr>
              <w:t>报价：元/一年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530" w:type="pct"/>
          </w:tcPr>
          <w:p>
            <w:pPr>
              <w:tabs>
                <w:tab w:val="left" w:pos="0"/>
              </w:tabs>
              <w:spacing w:line="360" w:lineRule="auto"/>
              <w:jc w:val="center"/>
              <w:rPr>
                <w:rFonts w:ascii="宋体" w:hAnsi="宋体" w:cs="宋体"/>
                <w:sz w:val="24"/>
                <w:szCs w:val="24"/>
              </w:rPr>
            </w:pPr>
            <w:r>
              <w:rPr>
                <w:rFonts w:hint="eastAsia" w:ascii="宋体" w:hAnsi="宋体" w:cs="宋体"/>
                <w:sz w:val="24"/>
                <w:szCs w:val="24"/>
              </w:rPr>
              <w:t>广州市番禺区中心医院</w:t>
            </w:r>
            <w:r>
              <w:rPr>
                <w:rFonts w:hint="eastAsia" w:ascii="宋体" w:hAnsi="宋体" w:cs="宋体"/>
                <w:b/>
                <w:sz w:val="24"/>
                <w:szCs w:val="24"/>
              </w:rPr>
              <w:t>（院本部、药物维持治疗门诊、区府门诊）</w:t>
            </w:r>
          </w:p>
        </w:tc>
        <w:tc>
          <w:tcPr>
            <w:tcW w:w="2470" w:type="pct"/>
            <w:vAlign w:val="center"/>
          </w:tcPr>
          <w:p>
            <w:pPr>
              <w:tabs>
                <w:tab w:val="left" w:pos="0"/>
              </w:tabs>
              <w:spacing w:line="360" w:lineRule="auto"/>
              <w:jc w:val="center"/>
              <w:rPr>
                <w:rFonts w:ascii="宋体" w:hAnsi="宋体" w:cs="宋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530" w:type="pct"/>
          </w:tcPr>
          <w:p>
            <w:pPr>
              <w:tabs>
                <w:tab w:val="left" w:pos="0"/>
              </w:tabs>
              <w:spacing w:line="360" w:lineRule="auto"/>
              <w:jc w:val="center"/>
              <w:rPr>
                <w:rFonts w:ascii="宋体" w:hAnsi="宋体" w:cs="宋体"/>
                <w:sz w:val="24"/>
                <w:szCs w:val="24"/>
              </w:rPr>
            </w:pPr>
            <w:r>
              <w:rPr>
                <w:rFonts w:hint="eastAsia" w:ascii="宋体" w:hAnsi="宋体" w:cs="宋体"/>
                <w:sz w:val="24"/>
                <w:szCs w:val="24"/>
              </w:rPr>
              <w:t>广州市番禺区第七人民医院</w:t>
            </w:r>
            <w:r>
              <w:rPr>
                <w:rFonts w:hint="eastAsia" w:ascii="宋体" w:hAnsi="宋体" w:cs="宋体"/>
                <w:b/>
                <w:sz w:val="24"/>
                <w:szCs w:val="24"/>
              </w:rPr>
              <w:t>（东院区）</w:t>
            </w:r>
          </w:p>
        </w:tc>
        <w:tc>
          <w:tcPr>
            <w:tcW w:w="2470" w:type="pct"/>
            <w:vAlign w:val="center"/>
          </w:tcPr>
          <w:p>
            <w:pPr>
              <w:tabs>
                <w:tab w:val="left" w:pos="0"/>
              </w:tabs>
              <w:spacing w:line="360" w:lineRule="auto"/>
              <w:jc w:val="center"/>
              <w:rPr>
                <w:rFonts w:ascii="宋体" w:hAnsi="宋体" w:cs="宋体"/>
                <w:sz w:val="24"/>
                <w:szCs w:val="24"/>
              </w:rPr>
            </w:pPr>
          </w:p>
        </w:tc>
      </w:tr>
    </w:tbl>
    <w:p>
      <w:pPr>
        <w:spacing w:line="400" w:lineRule="exact"/>
        <w:ind w:firstLine="485" w:firstLineChars="202"/>
        <w:rPr>
          <w:rFonts w:ascii="宋体" w:hAnsi="宋体" w:cs="宋体"/>
          <w:b/>
          <w:sz w:val="24"/>
          <w:szCs w:val="24"/>
        </w:rPr>
      </w:pPr>
      <w:r>
        <w:rPr>
          <w:rFonts w:hint="eastAsia" w:ascii="宋体" w:hAnsi="宋体" w:cs="宋体"/>
          <w:b/>
          <w:sz w:val="24"/>
          <w:szCs w:val="24"/>
        </w:rPr>
        <w:t>备注：番禺中心医院医疗集团包含广州市番禺区中心医院（包含院本部、药物维持治疗门诊、区府门诊）和广州市番禺区第七人民医院（东院区）。</w:t>
      </w:r>
    </w:p>
    <w:p>
      <w:pPr>
        <w:numPr>
          <w:ilvl w:val="0"/>
          <w:numId w:val="1"/>
        </w:numPr>
        <w:tabs>
          <w:tab w:val="left" w:pos="709"/>
          <w:tab w:val="left" w:pos="993"/>
        </w:tabs>
        <w:spacing w:before="156" w:beforeLines="50" w:after="156" w:afterLines="50" w:line="360" w:lineRule="auto"/>
        <w:ind w:hanging="988"/>
        <w:rPr>
          <w:rFonts w:ascii="宋体" w:hAnsi="宋体" w:cs="宋体"/>
          <w:b/>
          <w:sz w:val="24"/>
          <w:szCs w:val="24"/>
        </w:rPr>
      </w:pPr>
      <w:r>
        <w:rPr>
          <w:rFonts w:ascii="宋体" w:hAnsi="宋体" w:cs="宋体"/>
          <w:b/>
          <w:sz w:val="24"/>
          <w:szCs w:val="24"/>
        </w:rPr>
        <w:t>服务内容及范围</w:t>
      </w:r>
    </w:p>
    <w:p>
      <w:pPr>
        <w:spacing w:line="360" w:lineRule="auto"/>
        <w:ind w:firstLine="484" w:firstLineChars="202"/>
        <w:rPr>
          <w:rFonts w:ascii="宋体" w:hAnsi="宋体" w:cs="宋体"/>
          <w:sz w:val="24"/>
          <w:szCs w:val="24"/>
        </w:rPr>
      </w:pPr>
      <w:r>
        <w:rPr>
          <w:rFonts w:ascii="宋体" w:hAnsi="宋体" w:cs="宋体"/>
          <w:sz w:val="24"/>
          <w:szCs w:val="24"/>
        </w:rPr>
        <w:t>1、鼠、蚊、蝇、蟑螂、红火蚁、白蚁、蛇、蜂等病媒生物防治</w:t>
      </w:r>
      <w:r>
        <w:rPr>
          <w:rFonts w:hint="eastAsia" w:ascii="宋体" w:hAnsi="宋体" w:cs="宋体"/>
          <w:sz w:val="24"/>
          <w:szCs w:val="24"/>
        </w:rPr>
        <w:t>。</w:t>
      </w:r>
    </w:p>
    <w:p>
      <w:pPr>
        <w:spacing w:line="360" w:lineRule="auto"/>
        <w:ind w:firstLine="484" w:firstLineChars="202"/>
        <w:rPr>
          <w:rFonts w:ascii="宋体" w:hAnsi="宋体" w:cs="宋体"/>
          <w:sz w:val="24"/>
          <w:szCs w:val="24"/>
        </w:rPr>
      </w:pPr>
      <w:r>
        <w:rPr>
          <w:rFonts w:ascii="宋体" w:hAnsi="宋体" w:cs="宋体"/>
          <w:sz w:val="24"/>
          <w:szCs w:val="24"/>
        </w:rPr>
        <w:t>2、</w:t>
      </w:r>
      <w:r>
        <w:rPr>
          <w:rFonts w:hint="eastAsia" w:ascii="宋体" w:hAnsi="宋体" w:cs="宋体"/>
          <w:sz w:val="24"/>
          <w:szCs w:val="24"/>
        </w:rPr>
        <w:t>广州市番禺区中心医院（包含院本部、药物维持治疗门诊、区府门诊）和广州市番禺区第七人民医院（东院区）</w:t>
      </w:r>
      <w:r>
        <w:rPr>
          <w:rFonts w:ascii="宋体" w:hAnsi="宋体" w:cs="宋体"/>
          <w:sz w:val="24"/>
          <w:szCs w:val="24"/>
        </w:rPr>
        <w:t>规划红线以内的范围进行消杀。</w:t>
      </w:r>
    </w:p>
    <w:p>
      <w:pPr>
        <w:spacing w:line="360" w:lineRule="auto"/>
        <w:ind w:firstLine="484" w:firstLineChars="202"/>
        <w:rPr>
          <w:rFonts w:ascii="宋体" w:hAnsi="宋体" w:cs="宋体"/>
          <w:sz w:val="24"/>
          <w:szCs w:val="24"/>
        </w:rPr>
      </w:pPr>
      <w:r>
        <w:rPr>
          <w:rFonts w:hint="eastAsia" w:ascii="宋体" w:hAnsi="宋体" w:cs="宋体"/>
          <w:sz w:val="24"/>
          <w:szCs w:val="24"/>
        </w:rPr>
        <w:t>（1）广州市</w:t>
      </w:r>
      <w:r>
        <w:rPr>
          <w:rFonts w:ascii="宋体" w:hAnsi="宋体" w:cs="宋体"/>
          <w:sz w:val="24"/>
          <w:szCs w:val="24"/>
        </w:rPr>
        <w:t>番禺区中心医院</w:t>
      </w:r>
      <w:r>
        <w:rPr>
          <w:rFonts w:hint="eastAsia" w:ascii="宋体" w:hAnsi="宋体" w:cs="宋体"/>
          <w:sz w:val="24"/>
          <w:szCs w:val="24"/>
        </w:rPr>
        <w:t>院本部：主体</w:t>
      </w:r>
      <w:r>
        <w:rPr>
          <w:rFonts w:ascii="宋体" w:hAnsi="宋体" w:cs="宋体"/>
          <w:sz w:val="24"/>
          <w:szCs w:val="24"/>
        </w:rPr>
        <w:t>建筑面积20万</w:t>
      </w:r>
      <w:r>
        <w:rPr>
          <w:rFonts w:hint="eastAsia" w:ascii="宋体" w:hAnsi="宋体" w:cs="宋体"/>
          <w:sz w:val="24"/>
          <w:szCs w:val="24"/>
        </w:rPr>
        <w:t>㎡</w:t>
      </w:r>
      <w:r>
        <w:rPr>
          <w:rFonts w:ascii="宋体" w:hAnsi="宋体" w:cs="宋体"/>
          <w:sz w:val="24"/>
          <w:szCs w:val="24"/>
        </w:rPr>
        <w:t>，绿化面积占40%，医院建筑楼群有西区门诊楼、医技楼、住院部1号楼、2号楼、3号楼（含饭堂）、5号楼（感染疾病科）、高压氧楼、放疗</w:t>
      </w:r>
      <w:r>
        <w:rPr>
          <w:rFonts w:hint="eastAsia" w:ascii="宋体" w:hAnsi="宋体" w:cs="宋体"/>
          <w:sz w:val="24"/>
          <w:szCs w:val="24"/>
        </w:rPr>
        <w:t>-</w:t>
      </w:r>
      <w:r>
        <w:rPr>
          <w:rFonts w:ascii="宋体" w:hAnsi="宋体" w:cs="宋体"/>
          <w:sz w:val="24"/>
          <w:szCs w:val="24"/>
        </w:rPr>
        <w:t>ECT楼、8号楼</w:t>
      </w:r>
      <w:r>
        <w:rPr>
          <w:rFonts w:hint="eastAsia" w:ascii="宋体" w:hAnsi="宋体" w:cs="宋体"/>
          <w:sz w:val="24"/>
          <w:szCs w:val="24"/>
        </w:rPr>
        <w:t>，地址</w:t>
      </w:r>
      <w:r>
        <w:rPr>
          <w:rFonts w:ascii="宋体" w:hAnsi="宋体" w:cs="宋体"/>
          <w:sz w:val="24"/>
          <w:szCs w:val="24"/>
        </w:rPr>
        <w:t>：番禺区桥南街福愉东路8</w:t>
      </w:r>
      <w:r>
        <w:rPr>
          <w:rFonts w:hint="eastAsia" w:ascii="宋体" w:hAnsi="宋体" w:cs="宋体"/>
          <w:sz w:val="24"/>
          <w:szCs w:val="24"/>
        </w:rPr>
        <w:t>号</w:t>
      </w:r>
      <w:r>
        <w:rPr>
          <w:rFonts w:ascii="宋体" w:hAnsi="宋体" w:cs="宋体"/>
          <w:sz w:val="24"/>
          <w:szCs w:val="24"/>
        </w:rPr>
        <w:t>。</w:t>
      </w:r>
    </w:p>
    <w:p>
      <w:pPr>
        <w:spacing w:line="360" w:lineRule="auto"/>
        <w:ind w:firstLine="484" w:firstLineChars="202"/>
        <w:rPr>
          <w:rFonts w:ascii="宋体" w:hAnsi="宋体" w:cs="宋体"/>
          <w:sz w:val="24"/>
          <w:szCs w:val="24"/>
        </w:rPr>
      </w:pPr>
      <w:r>
        <w:rPr>
          <w:rFonts w:hint="eastAsia" w:ascii="宋体" w:hAnsi="宋体" w:cs="宋体"/>
          <w:sz w:val="24"/>
          <w:szCs w:val="24"/>
        </w:rPr>
        <w:t>另</w:t>
      </w:r>
      <w:r>
        <w:rPr>
          <w:rFonts w:ascii="宋体" w:hAnsi="宋体" w:cs="宋体"/>
          <w:sz w:val="24"/>
          <w:szCs w:val="24"/>
        </w:rPr>
        <w:t>含</w:t>
      </w:r>
      <w:r>
        <w:rPr>
          <w:rFonts w:hint="eastAsia" w:ascii="宋体" w:hAnsi="宋体" w:cs="宋体"/>
          <w:sz w:val="24"/>
          <w:szCs w:val="24"/>
        </w:rPr>
        <w:t>广州市</w:t>
      </w:r>
      <w:r>
        <w:rPr>
          <w:rFonts w:ascii="宋体" w:hAnsi="宋体" w:cs="宋体"/>
          <w:sz w:val="24"/>
          <w:szCs w:val="24"/>
        </w:rPr>
        <w:t>番禺区中心医院分门诊：</w:t>
      </w:r>
    </w:p>
    <w:p>
      <w:pPr>
        <w:spacing w:line="360" w:lineRule="auto"/>
        <w:ind w:firstLine="484" w:firstLineChars="202"/>
        <w:rPr>
          <w:rFonts w:ascii="宋体" w:hAnsi="宋体" w:cs="宋体"/>
          <w:sz w:val="24"/>
          <w:szCs w:val="24"/>
        </w:rPr>
      </w:pPr>
      <w:r>
        <w:rPr>
          <w:rFonts w:hint="eastAsia" w:ascii="宋体" w:hAnsi="宋体" w:cs="宋体"/>
          <w:sz w:val="24"/>
          <w:szCs w:val="24"/>
        </w:rPr>
        <w:t>①</w:t>
      </w:r>
      <w:r>
        <w:rPr>
          <w:rFonts w:ascii="宋体" w:hAnsi="宋体" w:cs="宋体"/>
          <w:sz w:val="24"/>
          <w:szCs w:val="24"/>
        </w:rPr>
        <w:t>药物维持治疗门诊：面积：200 m2 ，地址：番禺区市桥街海傍路80号</w:t>
      </w:r>
      <w:r>
        <w:rPr>
          <w:rFonts w:hint="eastAsia" w:ascii="宋体" w:hAnsi="宋体" w:cs="宋体"/>
          <w:sz w:val="24"/>
          <w:szCs w:val="24"/>
        </w:rPr>
        <w:t>。</w:t>
      </w:r>
    </w:p>
    <w:p>
      <w:pPr>
        <w:spacing w:line="360" w:lineRule="auto"/>
        <w:ind w:firstLine="484" w:firstLineChars="202"/>
        <w:rPr>
          <w:rFonts w:ascii="宋体" w:hAnsi="宋体" w:cs="宋体"/>
          <w:sz w:val="24"/>
          <w:szCs w:val="24"/>
        </w:rPr>
      </w:pPr>
      <w:r>
        <w:rPr>
          <w:rFonts w:hint="eastAsia" w:ascii="宋体" w:hAnsi="宋体" w:cs="宋体"/>
          <w:sz w:val="24"/>
          <w:szCs w:val="24"/>
        </w:rPr>
        <w:t>②</w:t>
      </w:r>
      <w:r>
        <w:rPr>
          <w:rFonts w:ascii="宋体" w:hAnsi="宋体" w:cs="宋体"/>
          <w:sz w:val="24"/>
          <w:szCs w:val="24"/>
        </w:rPr>
        <w:t>区府门诊：面积：150㎡ ，地址：番禺区市桥街清河路319号</w:t>
      </w:r>
      <w:r>
        <w:rPr>
          <w:rFonts w:hint="eastAsia" w:ascii="宋体" w:hAnsi="宋体" w:cs="宋体"/>
          <w:sz w:val="24"/>
          <w:szCs w:val="24"/>
        </w:rPr>
        <w:t>。</w:t>
      </w:r>
    </w:p>
    <w:p>
      <w:pPr>
        <w:spacing w:line="360" w:lineRule="auto"/>
        <w:ind w:firstLine="484" w:firstLineChars="202"/>
        <w:rPr>
          <w:rFonts w:ascii="宋体" w:hAnsi="宋体" w:cs="宋体"/>
          <w:sz w:val="24"/>
          <w:szCs w:val="24"/>
        </w:rPr>
      </w:pPr>
      <w:r>
        <w:rPr>
          <w:rFonts w:hint="eastAsia" w:ascii="宋体" w:hAnsi="宋体" w:cs="宋体"/>
          <w:sz w:val="24"/>
          <w:szCs w:val="24"/>
        </w:rPr>
        <w:t>（</w:t>
      </w:r>
      <w:r>
        <w:rPr>
          <w:rFonts w:ascii="宋体" w:hAnsi="宋体" w:cs="宋体"/>
          <w:sz w:val="24"/>
          <w:szCs w:val="24"/>
        </w:rPr>
        <w:t>2</w:t>
      </w:r>
      <w:r>
        <w:rPr>
          <w:rFonts w:hint="eastAsia" w:ascii="宋体" w:hAnsi="宋体" w:cs="宋体"/>
          <w:sz w:val="24"/>
          <w:szCs w:val="24"/>
        </w:rPr>
        <w:t>）广州市番禺区第七人民医院</w:t>
      </w:r>
      <w:r>
        <w:rPr>
          <w:rFonts w:hint="eastAsia" w:ascii="宋体" w:hAnsi="宋体" w:cs="宋体"/>
          <w:b/>
          <w:sz w:val="24"/>
          <w:szCs w:val="24"/>
        </w:rPr>
        <w:t>（东院区）</w:t>
      </w:r>
      <w:r>
        <w:rPr>
          <w:rFonts w:ascii="宋体" w:hAnsi="宋体" w:cs="宋体"/>
          <w:sz w:val="24"/>
          <w:szCs w:val="24"/>
        </w:rPr>
        <w:t>：建筑面积29786</w:t>
      </w:r>
      <w:r>
        <w:rPr>
          <w:rFonts w:hint="eastAsia" w:ascii="宋体" w:hAnsi="宋体" w:cs="宋体"/>
          <w:sz w:val="24"/>
          <w:szCs w:val="24"/>
        </w:rPr>
        <w:t>㎡</w:t>
      </w:r>
      <w:r>
        <w:rPr>
          <w:rFonts w:ascii="宋体" w:hAnsi="宋体" w:cs="宋体"/>
          <w:sz w:val="24"/>
          <w:szCs w:val="24"/>
        </w:rPr>
        <w:t>，医院建筑楼群有住院楼、门急诊楼、综合楼、交管站宿舍、畜牧</w:t>
      </w:r>
      <w:r>
        <w:rPr>
          <w:rFonts w:hint="eastAsia" w:ascii="宋体" w:hAnsi="宋体" w:cs="宋体"/>
          <w:sz w:val="24"/>
          <w:szCs w:val="24"/>
        </w:rPr>
        <w:t>站宿舍、</w:t>
      </w:r>
      <w:r>
        <w:rPr>
          <w:rFonts w:ascii="宋体" w:hAnsi="宋体" w:cs="宋体"/>
          <w:sz w:val="24"/>
          <w:szCs w:val="24"/>
        </w:rPr>
        <w:t>A栋集资楼宿舍、B栋集资楼宿舍等，地址：番禺区石楼镇人民路149号</w:t>
      </w:r>
      <w:r>
        <w:rPr>
          <w:rFonts w:hint="eastAsia" w:ascii="宋体" w:hAnsi="宋体" w:cs="宋体"/>
          <w:sz w:val="24"/>
          <w:szCs w:val="24"/>
        </w:rPr>
        <w:t>。</w:t>
      </w:r>
    </w:p>
    <w:p>
      <w:pPr>
        <w:pStyle w:val="18"/>
        <w:ind w:firstLine="480"/>
        <w:rPr>
          <w:sz w:val="24"/>
        </w:rPr>
      </w:pPr>
    </w:p>
    <w:p>
      <w:pPr>
        <w:numPr>
          <w:ilvl w:val="0"/>
          <w:numId w:val="1"/>
        </w:numPr>
        <w:tabs>
          <w:tab w:val="left" w:pos="709"/>
          <w:tab w:val="left" w:pos="993"/>
        </w:tabs>
        <w:spacing w:before="156" w:beforeLines="50" w:after="156" w:afterLines="50" w:line="360" w:lineRule="auto"/>
        <w:ind w:hanging="988"/>
        <w:rPr>
          <w:rFonts w:ascii="宋体" w:hAnsi="宋体" w:cs="宋体"/>
          <w:b/>
          <w:sz w:val="24"/>
          <w:szCs w:val="24"/>
        </w:rPr>
      </w:pPr>
      <w:r>
        <w:rPr>
          <w:rFonts w:ascii="宋体" w:hAnsi="宋体" w:cs="宋体"/>
          <w:b/>
          <w:sz w:val="24"/>
          <w:szCs w:val="24"/>
        </w:rPr>
        <w:t>服务要求</w:t>
      </w:r>
    </w:p>
    <w:p>
      <w:pPr>
        <w:spacing w:line="360" w:lineRule="auto"/>
        <w:ind w:firstLine="485" w:firstLineChars="202"/>
        <w:rPr>
          <w:rFonts w:ascii="宋体" w:hAnsi="宋体" w:cs="宋体"/>
          <w:b/>
          <w:sz w:val="24"/>
          <w:szCs w:val="24"/>
        </w:rPr>
      </w:pPr>
      <w:r>
        <w:rPr>
          <w:rFonts w:ascii="宋体" w:hAnsi="宋体" w:cs="宋体"/>
          <w:b/>
          <w:sz w:val="24"/>
          <w:szCs w:val="24"/>
        </w:rPr>
        <w:t>1、消杀前准备工作</w:t>
      </w:r>
    </w:p>
    <w:p>
      <w:pPr>
        <w:spacing w:line="360" w:lineRule="auto"/>
        <w:ind w:firstLine="484" w:firstLineChars="202"/>
        <w:rPr>
          <w:rFonts w:ascii="宋体" w:hAnsi="宋体" w:cs="宋体"/>
          <w:sz w:val="24"/>
          <w:szCs w:val="24"/>
        </w:rPr>
      </w:pPr>
      <w:r>
        <w:rPr>
          <w:rFonts w:ascii="宋体" w:hAnsi="宋体" w:cs="宋体"/>
          <w:sz w:val="24"/>
          <w:szCs w:val="24"/>
        </w:rPr>
        <w:t>全面调查、评估病媒生物种类、危害程度、孳生地、栖息场所和密度等，制定消杀和防治方案，每次消杀前要在院内告知，确保安全。</w:t>
      </w:r>
    </w:p>
    <w:p>
      <w:pPr>
        <w:spacing w:line="360" w:lineRule="auto"/>
        <w:ind w:firstLine="485" w:firstLineChars="202"/>
        <w:rPr>
          <w:rFonts w:ascii="宋体" w:hAnsi="宋体" w:cs="宋体"/>
          <w:b/>
          <w:sz w:val="24"/>
          <w:szCs w:val="24"/>
        </w:rPr>
      </w:pPr>
      <w:r>
        <w:rPr>
          <w:rFonts w:ascii="宋体" w:hAnsi="宋体" w:cs="宋体"/>
          <w:b/>
          <w:sz w:val="24"/>
          <w:szCs w:val="24"/>
        </w:rPr>
        <w:t>2、服务频次</w:t>
      </w:r>
    </w:p>
    <w:p>
      <w:pPr>
        <w:spacing w:line="360" w:lineRule="auto"/>
        <w:ind w:firstLine="484" w:firstLineChars="202"/>
        <w:rPr>
          <w:rFonts w:ascii="宋体" w:hAnsi="宋体" w:cs="宋体"/>
          <w:sz w:val="24"/>
          <w:szCs w:val="24"/>
        </w:rPr>
      </w:pPr>
      <w:r>
        <w:rPr>
          <w:rFonts w:ascii="宋体" w:hAnsi="宋体" w:cs="宋体"/>
          <w:sz w:val="24"/>
          <w:szCs w:val="24"/>
        </w:rPr>
        <w:t>（1</w:t>
      </w:r>
      <w:r>
        <w:rPr>
          <w:rFonts w:hint="eastAsia" w:ascii="宋体" w:hAnsi="宋体" w:cs="宋体"/>
          <w:sz w:val="24"/>
          <w:szCs w:val="24"/>
        </w:rPr>
        <w:t>）</w:t>
      </w:r>
      <w:r>
        <w:rPr>
          <w:rFonts w:ascii="宋体" w:hAnsi="宋体" w:cs="宋体"/>
          <w:sz w:val="24"/>
          <w:szCs w:val="24"/>
        </w:rPr>
        <w:t>全院所有科室及办公场所每周消杀施工</w:t>
      </w:r>
      <w:r>
        <w:rPr>
          <w:rFonts w:hint="eastAsia" w:ascii="宋体" w:hAnsi="宋体" w:cs="宋体"/>
          <w:sz w:val="24"/>
          <w:szCs w:val="24"/>
        </w:rPr>
        <w:t>至少</w:t>
      </w:r>
      <w:r>
        <w:rPr>
          <w:rFonts w:ascii="宋体" w:hAnsi="宋体" w:cs="宋体"/>
          <w:sz w:val="24"/>
          <w:szCs w:val="24"/>
        </w:rPr>
        <w:t>1次，并根据</w:t>
      </w:r>
      <w:r>
        <w:rPr>
          <w:rFonts w:hint="eastAsia" w:ascii="宋体" w:hAnsi="宋体" w:cs="宋体"/>
          <w:sz w:val="24"/>
          <w:szCs w:val="24"/>
        </w:rPr>
        <w:t>采购人需求随时调整消杀次数。</w:t>
      </w:r>
    </w:p>
    <w:p>
      <w:pPr>
        <w:spacing w:line="360" w:lineRule="auto"/>
        <w:ind w:firstLine="484" w:firstLineChars="202"/>
        <w:rPr>
          <w:rFonts w:ascii="宋体" w:hAnsi="宋体" w:cs="宋体"/>
          <w:sz w:val="24"/>
          <w:szCs w:val="24"/>
        </w:rPr>
      </w:pPr>
      <w:r>
        <w:rPr>
          <w:rFonts w:ascii="宋体" w:hAnsi="宋体" w:cs="宋体"/>
          <w:sz w:val="24"/>
          <w:szCs w:val="24"/>
        </w:rPr>
        <w:t>（2</w:t>
      </w:r>
      <w:r>
        <w:rPr>
          <w:rFonts w:hint="eastAsia" w:ascii="宋体" w:hAnsi="宋体" w:cs="宋体"/>
          <w:sz w:val="24"/>
          <w:szCs w:val="24"/>
        </w:rPr>
        <w:t>）</w:t>
      </w:r>
      <w:r>
        <w:rPr>
          <w:rFonts w:ascii="宋体" w:hAnsi="宋体" w:cs="宋体"/>
          <w:sz w:val="24"/>
          <w:szCs w:val="24"/>
        </w:rPr>
        <w:t>急诊、发热门诊及5号楼、饭堂等特殊科室要求每天1次检查、消杀</w:t>
      </w:r>
      <w:r>
        <w:rPr>
          <w:rFonts w:hint="eastAsia" w:ascii="宋体" w:hAnsi="宋体" w:cs="宋体"/>
          <w:sz w:val="24"/>
          <w:szCs w:val="24"/>
        </w:rPr>
        <w:t>或根据采购人需求调整</w:t>
      </w:r>
      <w:r>
        <w:rPr>
          <w:rFonts w:ascii="宋体" w:hAnsi="宋体" w:cs="宋体"/>
          <w:sz w:val="24"/>
          <w:szCs w:val="24"/>
        </w:rPr>
        <w:t>，确保病媒生物防制达标。</w:t>
      </w:r>
    </w:p>
    <w:p>
      <w:pPr>
        <w:spacing w:line="360" w:lineRule="auto"/>
        <w:ind w:firstLine="484" w:firstLineChars="202"/>
        <w:rPr>
          <w:rFonts w:ascii="宋体" w:hAnsi="宋体" w:cs="宋体"/>
          <w:sz w:val="24"/>
          <w:szCs w:val="24"/>
        </w:rPr>
      </w:pPr>
      <w:r>
        <w:rPr>
          <w:rFonts w:ascii="宋体" w:hAnsi="宋体" w:cs="宋体"/>
          <w:sz w:val="24"/>
          <w:szCs w:val="24"/>
        </w:rPr>
        <w:t>（3）全院大消杀(含全院外围、负一层、楼道等区域)的频次</w:t>
      </w:r>
      <w:r>
        <w:rPr>
          <w:rFonts w:hint="eastAsia" w:ascii="宋体" w:hAnsi="宋体" w:cs="宋体"/>
          <w:sz w:val="24"/>
          <w:szCs w:val="24"/>
        </w:rPr>
        <w:t>：</w:t>
      </w:r>
      <w:r>
        <w:rPr>
          <w:rFonts w:ascii="宋体" w:hAnsi="宋体" w:cs="宋体"/>
          <w:sz w:val="24"/>
          <w:szCs w:val="24"/>
        </w:rPr>
        <w:t xml:space="preserve">每月进行全院统一投（施）药、消杀 </w:t>
      </w:r>
      <w:r>
        <w:rPr>
          <w:rFonts w:hint="eastAsia" w:ascii="宋体" w:hAnsi="宋体" w:cs="宋体"/>
          <w:sz w:val="24"/>
          <w:szCs w:val="24"/>
        </w:rPr>
        <w:t>至少</w:t>
      </w:r>
      <w:r>
        <w:rPr>
          <w:rFonts w:ascii="宋体" w:hAnsi="宋体" w:cs="宋体"/>
          <w:sz w:val="24"/>
          <w:szCs w:val="24"/>
        </w:rPr>
        <w:t>4 次，原则上每周消杀一次，并根据效果调整消杀次数，在安全环保前提下确保病媒生物密度达标。另外，成交供应商严格执行上级部门下发的关于“四害”防制文件精神，按时间开展统一紧急消杀防控工作，成交供应商必须迅速响应</w:t>
      </w:r>
      <w:r>
        <w:rPr>
          <w:rFonts w:hint="eastAsia" w:ascii="宋体" w:hAnsi="宋体" w:cs="宋体"/>
          <w:sz w:val="24"/>
          <w:szCs w:val="24"/>
        </w:rPr>
        <w:t>。东院区、分门诊的服务频次与院本部服务频次必须一致，服务质量按照院本部要求执行。</w:t>
      </w:r>
    </w:p>
    <w:p>
      <w:pPr>
        <w:spacing w:line="360" w:lineRule="auto"/>
        <w:ind w:firstLine="485" w:firstLineChars="202"/>
        <w:rPr>
          <w:rFonts w:ascii="宋体" w:hAnsi="宋体" w:cs="宋体"/>
          <w:b/>
          <w:sz w:val="24"/>
          <w:szCs w:val="24"/>
        </w:rPr>
      </w:pPr>
      <w:r>
        <w:rPr>
          <w:rFonts w:ascii="宋体" w:hAnsi="宋体" w:cs="宋体"/>
          <w:b/>
          <w:sz w:val="24"/>
          <w:szCs w:val="24"/>
        </w:rPr>
        <w:t>3、质量标准</w:t>
      </w:r>
    </w:p>
    <w:p>
      <w:pPr>
        <w:spacing w:line="360" w:lineRule="auto"/>
        <w:ind w:firstLine="484" w:firstLineChars="202"/>
        <w:rPr>
          <w:rFonts w:ascii="宋体" w:hAnsi="宋体" w:cs="宋体"/>
          <w:sz w:val="24"/>
          <w:szCs w:val="24"/>
        </w:rPr>
      </w:pPr>
      <w:r>
        <w:rPr>
          <w:rFonts w:ascii="宋体" w:hAnsi="宋体" w:cs="宋体"/>
          <w:sz w:val="24"/>
          <w:szCs w:val="24"/>
        </w:rPr>
        <w:t>（1）</w:t>
      </w:r>
      <w:r>
        <w:rPr>
          <w:rFonts w:hint="eastAsia" w:ascii="宋体" w:hAnsi="宋体" w:cs="宋体"/>
          <w:sz w:val="24"/>
          <w:szCs w:val="24"/>
        </w:rPr>
        <w:t>供应商具有有害生物防制服务的经验与能力，“四害”防治目标达到国家爱卫会印发的《鼠、蚊、蝇、蟑螂控制标准》及服务期间省市印发相关病媒生物控制标准。</w:t>
      </w:r>
    </w:p>
    <w:p>
      <w:pPr>
        <w:spacing w:line="360" w:lineRule="auto"/>
        <w:ind w:firstLine="484" w:firstLineChars="202"/>
        <w:rPr>
          <w:rFonts w:ascii="宋体" w:hAnsi="宋体" w:cs="宋体"/>
          <w:sz w:val="24"/>
          <w:szCs w:val="24"/>
        </w:rPr>
      </w:pPr>
      <w:r>
        <w:rPr>
          <w:rFonts w:hint="eastAsia" w:ascii="宋体" w:hAnsi="宋体" w:cs="宋体"/>
          <w:sz w:val="24"/>
          <w:szCs w:val="24"/>
        </w:rPr>
        <w:t>（2）</w:t>
      </w:r>
      <w:r>
        <w:rPr>
          <w:rFonts w:ascii="宋体" w:hAnsi="宋体" w:cs="宋体"/>
          <w:sz w:val="24"/>
          <w:szCs w:val="24"/>
        </w:rPr>
        <w:t>成交供应商必须采取适当措施</w:t>
      </w:r>
      <w:r>
        <w:rPr>
          <w:rFonts w:hint="eastAsia" w:ascii="宋体" w:hAnsi="宋体" w:cs="宋体"/>
          <w:sz w:val="24"/>
          <w:szCs w:val="24"/>
        </w:rPr>
        <w:t>，</w:t>
      </w:r>
      <w:r>
        <w:rPr>
          <w:rFonts w:ascii="宋体" w:hAnsi="宋体" w:cs="宋体"/>
          <w:sz w:val="24"/>
          <w:szCs w:val="24"/>
        </w:rPr>
        <w:t>如物理方法、化学方法或其它综合治理措施，“四害”防制施工一个月后（灭蚊子两周后）至合同期满，保证采购人“四害”防治目标达到国家爱卫会印发的《鼠、蚊、蝇、蟑螂控制标准》及服务期间省市印发相关病媒生物控制标准。</w:t>
      </w:r>
    </w:p>
    <w:p>
      <w:pPr>
        <w:spacing w:line="360" w:lineRule="auto"/>
        <w:ind w:firstLine="484" w:firstLineChars="202"/>
        <w:rPr>
          <w:rFonts w:ascii="宋体" w:hAnsi="宋体" w:cs="宋体"/>
          <w:sz w:val="24"/>
          <w:szCs w:val="24"/>
        </w:rPr>
      </w:pPr>
      <w:r>
        <w:rPr>
          <w:rFonts w:ascii="宋体" w:hAnsi="宋体" w:cs="宋体"/>
          <w:sz w:val="24"/>
          <w:szCs w:val="24"/>
        </w:rPr>
        <w:t>（3）采取积极措施和合理有效的方法预防病媒生物的侵入或产生，确保服务范围内病媒生物密度和危害保持在控制标准范围。</w:t>
      </w:r>
    </w:p>
    <w:p>
      <w:pPr>
        <w:spacing w:line="360" w:lineRule="auto"/>
        <w:ind w:firstLine="484" w:firstLineChars="202"/>
        <w:rPr>
          <w:rFonts w:ascii="宋体" w:hAnsi="宋体" w:cs="宋体"/>
          <w:sz w:val="24"/>
          <w:szCs w:val="24"/>
        </w:rPr>
      </w:pPr>
      <w:r>
        <w:rPr>
          <w:rFonts w:ascii="宋体" w:hAnsi="宋体" w:cs="宋体"/>
          <w:sz w:val="24"/>
          <w:szCs w:val="24"/>
        </w:rPr>
        <w:t>（4）出现突发性“四害”入侵或流行性疾病发生，成交供应商应能及时有效的</w:t>
      </w:r>
      <w:r>
        <w:rPr>
          <w:rFonts w:hint="eastAsia" w:ascii="宋体" w:hAnsi="宋体" w:cs="宋体"/>
          <w:sz w:val="24"/>
          <w:szCs w:val="24"/>
        </w:rPr>
        <w:t>控制病媒生物，按照相关要求增加消杀次数，保证“四害”防控达标，防控措施及药物消毒、人工费用等所产生的应急费用已包含在服务费用中，由成交供应商负责，采购人不另外支付费用。</w:t>
      </w:r>
    </w:p>
    <w:p>
      <w:pPr>
        <w:spacing w:line="360" w:lineRule="auto"/>
        <w:ind w:firstLine="485" w:firstLineChars="202"/>
        <w:rPr>
          <w:rFonts w:ascii="宋体" w:hAnsi="宋体" w:cs="宋体"/>
          <w:b/>
          <w:sz w:val="24"/>
          <w:szCs w:val="24"/>
        </w:rPr>
      </w:pPr>
      <w:r>
        <w:rPr>
          <w:rFonts w:ascii="宋体" w:hAnsi="宋体" w:cs="宋体"/>
          <w:b/>
          <w:sz w:val="24"/>
          <w:szCs w:val="24"/>
        </w:rPr>
        <w:t>4、使用药物</w:t>
      </w:r>
    </w:p>
    <w:p>
      <w:pPr>
        <w:spacing w:line="360" w:lineRule="auto"/>
        <w:ind w:firstLine="484" w:firstLineChars="202"/>
        <w:rPr>
          <w:rFonts w:ascii="宋体" w:hAnsi="宋体" w:cs="宋体"/>
          <w:sz w:val="24"/>
          <w:szCs w:val="24"/>
        </w:rPr>
      </w:pPr>
      <w:r>
        <w:rPr>
          <w:rFonts w:ascii="宋体" w:hAnsi="宋体" w:cs="宋体"/>
          <w:sz w:val="24"/>
          <w:szCs w:val="24"/>
        </w:rPr>
        <w:t>使用的药物必须是国家规定使用的卫生杀虫剂，药物必须是国家有关主管部门批准生产的具有三证或已登记进口的卫生杀虫剂的合格产品用于卫生虫害防制的药物，其性能应符合下列要求：化学性质稳定，且残效期较长，高效低毒、安全，对人畜及环境无害，对病媒生物具有显著的击倒和致死作用。使用药物</w:t>
      </w:r>
      <w:r>
        <w:rPr>
          <w:rFonts w:hint="eastAsia" w:ascii="宋体" w:hAnsi="宋体" w:cs="宋体"/>
          <w:sz w:val="24"/>
          <w:szCs w:val="24"/>
        </w:rPr>
        <w:t>重金属含量必须低于国家规定排放标准。</w:t>
      </w:r>
    </w:p>
    <w:p>
      <w:pPr>
        <w:spacing w:line="360" w:lineRule="auto"/>
        <w:ind w:firstLine="485" w:firstLineChars="202"/>
        <w:rPr>
          <w:rFonts w:ascii="宋体" w:hAnsi="宋体" w:cs="宋体"/>
          <w:b/>
          <w:sz w:val="24"/>
          <w:szCs w:val="24"/>
        </w:rPr>
      </w:pPr>
      <w:r>
        <w:rPr>
          <w:rFonts w:ascii="宋体" w:hAnsi="宋体" w:cs="宋体"/>
          <w:b/>
          <w:sz w:val="24"/>
          <w:szCs w:val="24"/>
        </w:rPr>
        <w:t>5、服务质量监控</w:t>
      </w:r>
    </w:p>
    <w:p>
      <w:pPr>
        <w:spacing w:line="360" w:lineRule="auto"/>
        <w:ind w:firstLine="484" w:firstLineChars="202"/>
        <w:rPr>
          <w:rFonts w:ascii="宋体" w:hAnsi="宋体" w:cs="宋体"/>
          <w:sz w:val="24"/>
          <w:szCs w:val="24"/>
        </w:rPr>
      </w:pPr>
      <w:r>
        <w:rPr>
          <w:rFonts w:ascii="宋体" w:hAnsi="宋体" w:cs="宋体"/>
          <w:sz w:val="24"/>
          <w:szCs w:val="24"/>
        </w:rPr>
        <w:t>成交供应商每周必须安排工程技术人员</w:t>
      </w:r>
      <w:r>
        <w:rPr>
          <w:rFonts w:hint="eastAsia" w:ascii="宋体" w:hAnsi="宋体" w:cs="宋体"/>
          <w:sz w:val="24"/>
          <w:szCs w:val="24"/>
        </w:rPr>
        <w:t>到</w:t>
      </w:r>
      <w:r>
        <w:rPr>
          <w:rFonts w:ascii="宋体" w:hAnsi="宋体" w:cs="宋体"/>
          <w:sz w:val="24"/>
          <w:szCs w:val="24"/>
        </w:rPr>
        <w:t>采购人</w:t>
      </w:r>
      <w:r>
        <w:rPr>
          <w:rFonts w:hint="eastAsia" w:ascii="宋体" w:hAnsi="宋体" w:cs="宋体"/>
          <w:sz w:val="24"/>
          <w:szCs w:val="24"/>
        </w:rPr>
        <w:t>处</w:t>
      </w:r>
      <w:r>
        <w:rPr>
          <w:rFonts w:ascii="宋体" w:hAnsi="宋体" w:cs="宋体"/>
          <w:sz w:val="24"/>
          <w:szCs w:val="24"/>
        </w:rPr>
        <w:t>自查消杀效果或服务质量，每月联同采购人主管部门管理人员检查医院病媒生物防制工作情况，并将检查结果和密度检查表交医院主管部门。</w:t>
      </w:r>
    </w:p>
    <w:p>
      <w:pPr>
        <w:spacing w:line="360" w:lineRule="auto"/>
        <w:ind w:firstLine="485" w:firstLineChars="202"/>
        <w:rPr>
          <w:rFonts w:ascii="宋体" w:hAnsi="宋体" w:cs="宋体"/>
          <w:b/>
          <w:sz w:val="24"/>
          <w:szCs w:val="24"/>
        </w:rPr>
      </w:pPr>
      <w:r>
        <w:rPr>
          <w:rFonts w:ascii="宋体" w:hAnsi="宋体" w:cs="宋体"/>
          <w:b/>
          <w:sz w:val="24"/>
          <w:szCs w:val="24"/>
        </w:rPr>
        <w:t>6、资料管理要求</w:t>
      </w:r>
    </w:p>
    <w:p>
      <w:pPr>
        <w:spacing w:line="360" w:lineRule="auto"/>
        <w:ind w:firstLine="484" w:firstLineChars="202"/>
        <w:rPr>
          <w:rFonts w:ascii="宋体" w:hAnsi="宋体" w:cs="宋体"/>
          <w:sz w:val="24"/>
          <w:szCs w:val="24"/>
        </w:rPr>
      </w:pPr>
      <w:r>
        <w:rPr>
          <w:rFonts w:ascii="宋体" w:hAnsi="宋体" w:cs="宋体"/>
          <w:sz w:val="24"/>
          <w:szCs w:val="24"/>
        </w:rPr>
        <w:t>成交供应商必须做好防治工作记录，包括每次所采取的措施和跟踪维护记录，每月进行病媒生物密度检测，高峰期或特殊时期每周监测，并负责外围环境控制调查、整改、跟踪及相关建议，每月将资料交医院主管部门。同时要建立全部防治工程档案，服务期满将资料档案交医院存档。</w:t>
      </w:r>
    </w:p>
    <w:p>
      <w:pPr>
        <w:spacing w:line="360" w:lineRule="auto"/>
        <w:ind w:firstLine="485" w:firstLineChars="202"/>
        <w:rPr>
          <w:rFonts w:ascii="宋体" w:hAnsi="宋体" w:cs="宋体"/>
          <w:b/>
          <w:sz w:val="24"/>
          <w:szCs w:val="24"/>
        </w:rPr>
      </w:pPr>
      <w:r>
        <w:rPr>
          <w:rFonts w:ascii="宋体" w:hAnsi="宋体" w:cs="宋体"/>
          <w:b/>
          <w:sz w:val="24"/>
          <w:szCs w:val="24"/>
        </w:rPr>
        <w:t>7、突发任务</w:t>
      </w:r>
    </w:p>
    <w:p>
      <w:pPr>
        <w:spacing w:line="360" w:lineRule="auto"/>
        <w:ind w:firstLine="484" w:firstLineChars="202"/>
        <w:rPr>
          <w:rFonts w:ascii="宋体" w:hAnsi="宋体" w:cs="宋体"/>
          <w:sz w:val="24"/>
          <w:szCs w:val="24"/>
        </w:rPr>
      </w:pPr>
      <w:r>
        <w:rPr>
          <w:rFonts w:ascii="宋体" w:hAnsi="宋体" w:cs="宋体"/>
          <w:sz w:val="24"/>
          <w:szCs w:val="24"/>
        </w:rPr>
        <w:t>医院如有</w:t>
      </w:r>
      <w:r>
        <w:rPr>
          <w:rFonts w:hint="eastAsia" w:ascii="宋体" w:hAnsi="宋体" w:cs="宋体"/>
          <w:sz w:val="24"/>
          <w:szCs w:val="24"/>
        </w:rPr>
        <w:t>重大会议、活动、重点政务接待、各项检查等成交供应商负责落实服务项目范围各项迎检工作并务必达标。如发生突发卫生事件如登革热、甲流等，成交供应商要配合医院及上级部门要求开展病媒生物防治工作，全面、彻底清除病媒生物。</w:t>
      </w:r>
    </w:p>
    <w:p>
      <w:pPr>
        <w:spacing w:line="360" w:lineRule="auto"/>
        <w:ind w:firstLine="484" w:firstLineChars="202"/>
        <w:rPr>
          <w:rFonts w:ascii="宋体" w:hAnsi="宋体" w:cs="宋体"/>
          <w:sz w:val="24"/>
          <w:szCs w:val="24"/>
        </w:rPr>
      </w:pPr>
      <w:r>
        <w:rPr>
          <w:rFonts w:ascii="宋体" w:hAnsi="宋体" w:cs="宋体"/>
          <w:sz w:val="24"/>
          <w:szCs w:val="24"/>
        </w:rPr>
        <w:t>定期检查采购人防病媒生物基础设施（防蚊闸、重点部门防鼠设施等）情况，并交采购</w:t>
      </w:r>
      <w:r>
        <w:rPr>
          <w:rFonts w:hint="eastAsia" w:ascii="宋体" w:hAnsi="宋体" w:cs="宋体"/>
          <w:sz w:val="24"/>
          <w:szCs w:val="24"/>
        </w:rPr>
        <w:t>人</w:t>
      </w:r>
      <w:r>
        <w:rPr>
          <w:rFonts w:ascii="宋体" w:hAnsi="宋体" w:cs="宋体"/>
          <w:sz w:val="24"/>
          <w:szCs w:val="24"/>
        </w:rPr>
        <w:t>改进和完善。</w:t>
      </w:r>
    </w:p>
    <w:p>
      <w:pPr>
        <w:numPr>
          <w:ilvl w:val="0"/>
          <w:numId w:val="1"/>
        </w:numPr>
        <w:tabs>
          <w:tab w:val="left" w:pos="709"/>
          <w:tab w:val="left" w:pos="993"/>
        </w:tabs>
        <w:spacing w:before="156" w:beforeLines="50" w:after="156" w:afterLines="50" w:line="360" w:lineRule="auto"/>
        <w:ind w:hanging="988"/>
        <w:rPr>
          <w:rFonts w:ascii="宋体" w:hAnsi="宋体" w:cs="宋体"/>
          <w:b/>
          <w:sz w:val="24"/>
          <w:szCs w:val="24"/>
        </w:rPr>
      </w:pPr>
      <w:r>
        <w:rPr>
          <w:rFonts w:ascii="宋体" w:hAnsi="宋体" w:cs="宋体"/>
          <w:b/>
          <w:sz w:val="24"/>
          <w:szCs w:val="24"/>
        </w:rPr>
        <w:t>消杀作业人员及施工要求</w:t>
      </w:r>
    </w:p>
    <w:p>
      <w:pPr>
        <w:pStyle w:val="12"/>
        <w:numPr>
          <w:ilvl w:val="0"/>
          <w:numId w:val="2"/>
        </w:numPr>
        <w:spacing w:line="360" w:lineRule="auto"/>
        <w:ind w:firstLine="480"/>
        <w:rPr>
          <w:rFonts w:ascii="宋体" w:hAnsi="宋体" w:cs="宋体"/>
          <w:sz w:val="24"/>
          <w:szCs w:val="24"/>
        </w:rPr>
      </w:pPr>
      <w:r>
        <w:rPr>
          <w:rFonts w:ascii="宋体" w:hAnsi="宋体" w:cs="宋体"/>
          <w:sz w:val="24"/>
          <w:szCs w:val="24"/>
        </w:rPr>
        <w:t>供应商防制作业人员必须是经过专业培训并领取国家劳动部门颁发的</w:t>
      </w:r>
      <w:r>
        <w:rPr>
          <w:rFonts w:hint="eastAsia" w:ascii="宋体" w:hAnsi="宋体" w:cs="宋体"/>
          <w:sz w:val="24"/>
          <w:szCs w:val="24"/>
        </w:rPr>
        <w:t>有害</w:t>
      </w:r>
      <w:r>
        <w:rPr>
          <w:rFonts w:ascii="宋体" w:hAnsi="宋体" w:cs="宋体"/>
          <w:sz w:val="24"/>
          <w:szCs w:val="24"/>
        </w:rPr>
        <w:t>生物防制资格证（</w:t>
      </w:r>
      <w:r>
        <w:rPr>
          <w:rFonts w:hint="eastAsia" w:ascii="宋体" w:hAnsi="宋体" w:cs="宋体"/>
          <w:sz w:val="24"/>
          <w:szCs w:val="24"/>
        </w:rPr>
        <w:t>有害</w:t>
      </w:r>
      <w:r>
        <w:rPr>
          <w:rFonts w:ascii="宋体" w:hAnsi="宋体" w:cs="宋体"/>
          <w:sz w:val="24"/>
          <w:szCs w:val="24"/>
        </w:rPr>
        <w:t>生物防制员）、具备市级或以上病媒生物防制协会颁发的</w:t>
      </w:r>
      <w:r>
        <w:rPr>
          <w:rFonts w:hint="eastAsia" w:ascii="宋体" w:hAnsi="宋体" w:cs="宋体"/>
          <w:sz w:val="24"/>
          <w:szCs w:val="24"/>
        </w:rPr>
        <w:t>有害</w:t>
      </w:r>
      <w:r>
        <w:rPr>
          <w:rFonts w:ascii="宋体" w:hAnsi="宋体" w:cs="宋体"/>
          <w:sz w:val="24"/>
          <w:szCs w:val="24"/>
        </w:rPr>
        <w:t>生物防制服务《上岗证》</w:t>
      </w:r>
      <w:r>
        <w:rPr>
          <w:rFonts w:hint="eastAsia" w:ascii="宋体" w:hAnsi="宋体" w:cs="宋体"/>
          <w:sz w:val="24"/>
          <w:szCs w:val="24"/>
        </w:rPr>
        <w:t>。</w:t>
      </w:r>
    </w:p>
    <w:p>
      <w:pPr>
        <w:pStyle w:val="12"/>
        <w:numPr>
          <w:ilvl w:val="0"/>
          <w:numId w:val="2"/>
        </w:numPr>
        <w:spacing w:line="360" w:lineRule="auto"/>
        <w:ind w:firstLine="480"/>
        <w:rPr>
          <w:rFonts w:ascii="宋体" w:hAnsi="宋体" w:cs="宋体"/>
          <w:sz w:val="24"/>
          <w:szCs w:val="24"/>
        </w:rPr>
      </w:pPr>
      <w:r>
        <w:rPr>
          <w:rFonts w:hint="eastAsia" w:ascii="宋体" w:hAnsi="宋体" w:cs="宋体"/>
          <w:sz w:val="24"/>
          <w:szCs w:val="24"/>
        </w:rPr>
        <w:t>成交后供应商消杀作业人员</w:t>
      </w:r>
      <w:r>
        <w:rPr>
          <w:rFonts w:ascii="宋体" w:hAnsi="宋体" w:cs="宋体"/>
          <w:sz w:val="24"/>
          <w:szCs w:val="24"/>
        </w:rPr>
        <w:t>在采购人备案存档</w:t>
      </w:r>
      <w:r>
        <w:rPr>
          <w:rFonts w:hint="eastAsia" w:ascii="宋体" w:hAnsi="宋体" w:cs="宋体"/>
          <w:sz w:val="24"/>
          <w:szCs w:val="24"/>
        </w:rPr>
        <w:t>并得到医院认可并固定，特殊情况需要更换人员要告知院方并取得同意才能更换。</w:t>
      </w:r>
    </w:p>
    <w:p>
      <w:pPr>
        <w:pStyle w:val="12"/>
        <w:numPr>
          <w:ilvl w:val="0"/>
          <w:numId w:val="2"/>
        </w:numPr>
        <w:spacing w:line="360" w:lineRule="auto"/>
        <w:ind w:firstLine="480"/>
        <w:rPr>
          <w:rFonts w:ascii="宋体" w:hAnsi="宋体" w:cs="宋体"/>
          <w:sz w:val="24"/>
          <w:szCs w:val="24"/>
        </w:rPr>
      </w:pPr>
      <w:r>
        <w:rPr>
          <w:rFonts w:hint="eastAsia" w:ascii="宋体" w:hAnsi="宋体" w:cs="宋体"/>
          <w:sz w:val="24"/>
          <w:szCs w:val="24"/>
        </w:rPr>
        <w:t>驻点服务人员数量：院本部4人、东院区2人。</w:t>
      </w:r>
    </w:p>
    <w:p>
      <w:pPr>
        <w:pStyle w:val="12"/>
        <w:numPr>
          <w:ilvl w:val="0"/>
          <w:numId w:val="2"/>
        </w:numPr>
        <w:spacing w:line="360" w:lineRule="auto"/>
        <w:ind w:firstLine="480"/>
        <w:rPr>
          <w:rFonts w:ascii="宋体" w:hAnsi="宋体" w:cs="宋体"/>
          <w:sz w:val="24"/>
          <w:szCs w:val="24"/>
        </w:rPr>
      </w:pPr>
      <w:r>
        <w:rPr>
          <w:rFonts w:ascii="宋体" w:hAnsi="宋体" w:cs="宋体"/>
          <w:sz w:val="24"/>
          <w:szCs w:val="24"/>
        </w:rPr>
        <w:t>施工时间，按采购人规定的施工时间服务，选择员工和患者人流较少时段。</w:t>
      </w:r>
    </w:p>
    <w:p>
      <w:pPr>
        <w:pStyle w:val="12"/>
        <w:numPr>
          <w:ilvl w:val="0"/>
          <w:numId w:val="2"/>
        </w:numPr>
        <w:spacing w:line="360" w:lineRule="auto"/>
        <w:ind w:firstLine="480"/>
        <w:rPr>
          <w:rFonts w:ascii="宋体" w:hAnsi="宋体" w:cs="宋体"/>
          <w:sz w:val="24"/>
          <w:szCs w:val="24"/>
        </w:rPr>
      </w:pPr>
      <w:r>
        <w:rPr>
          <w:rFonts w:ascii="宋体" w:hAnsi="宋体" w:cs="宋体"/>
          <w:sz w:val="24"/>
          <w:szCs w:val="24"/>
        </w:rPr>
        <w:t>工作人员要穿工作服、配戴上岗证；进入医院不准吸烟、大声喧哗等，服从医院管理，</w:t>
      </w:r>
      <w:r>
        <w:rPr>
          <w:rFonts w:hint="eastAsia" w:ascii="宋体" w:hAnsi="宋体" w:cs="宋体"/>
          <w:sz w:val="24"/>
          <w:szCs w:val="24"/>
        </w:rPr>
        <w:t>文明施工，</w:t>
      </w:r>
      <w:r>
        <w:rPr>
          <w:rFonts w:ascii="宋体" w:hAnsi="宋体" w:cs="宋体"/>
          <w:sz w:val="24"/>
          <w:szCs w:val="24"/>
        </w:rPr>
        <w:t>使用杀虫剂时必须穿戴安全保护用品。</w:t>
      </w:r>
    </w:p>
    <w:p>
      <w:pPr>
        <w:pStyle w:val="12"/>
        <w:numPr>
          <w:ilvl w:val="0"/>
          <w:numId w:val="2"/>
        </w:numPr>
        <w:spacing w:line="360" w:lineRule="auto"/>
        <w:ind w:firstLine="480"/>
        <w:rPr>
          <w:rFonts w:ascii="宋体" w:hAnsi="宋体" w:cs="宋体"/>
          <w:sz w:val="24"/>
          <w:szCs w:val="24"/>
        </w:rPr>
      </w:pPr>
      <w:r>
        <w:rPr>
          <w:rFonts w:ascii="宋体" w:hAnsi="宋体" w:cs="宋体"/>
          <w:sz w:val="24"/>
          <w:szCs w:val="24"/>
        </w:rPr>
        <w:t>进入科室作业需经科室同意方可进行，对有病人和医务人员的诊疗场所必须事先通知并做好防护措施。一切物品未经同意严禁触、摸、翻动。</w:t>
      </w:r>
    </w:p>
    <w:p>
      <w:pPr>
        <w:pStyle w:val="12"/>
        <w:numPr>
          <w:ilvl w:val="0"/>
          <w:numId w:val="2"/>
        </w:numPr>
        <w:spacing w:line="360" w:lineRule="auto"/>
        <w:ind w:firstLine="480"/>
        <w:rPr>
          <w:rFonts w:ascii="宋体" w:hAnsi="宋体" w:cs="宋体"/>
          <w:sz w:val="24"/>
          <w:szCs w:val="24"/>
        </w:rPr>
      </w:pPr>
      <w:r>
        <w:rPr>
          <w:rFonts w:ascii="宋体" w:hAnsi="宋体" w:cs="宋体"/>
          <w:sz w:val="24"/>
          <w:szCs w:val="24"/>
        </w:rPr>
        <w:t>每次大消杀施工，供应商均需安排1名工程负责人带队，专业工作人员3人或以上，每周检查院内病媒生物情况，及时采取防</w:t>
      </w:r>
      <w:r>
        <w:rPr>
          <w:rFonts w:hint="eastAsia" w:ascii="宋体" w:hAnsi="宋体" w:cs="宋体"/>
          <w:sz w:val="24"/>
          <w:szCs w:val="24"/>
        </w:rPr>
        <w:t>制措施，保持病媒生物防治达标状态，施工结束后，填写施工登记表，经双方签字认可，交采购人一份。</w:t>
      </w:r>
    </w:p>
    <w:p>
      <w:pPr>
        <w:pStyle w:val="12"/>
        <w:numPr>
          <w:ilvl w:val="0"/>
          <w:numId w:val="2"/>
        </w:numPr>
        <w:spacing w:line="360" w:lineRule="auto"/>
        <w:ind w:firstLine="480"/>
        <w:rPr>
          <w:rFonts w:ascii="宋体" w:hAnsi="宋体" w:cs="宋体"/>
          <w:sz w:val="24"/>
          <w:szCs w:val="24"/>
        </w:rPr>
      </w:pPr>
      <w:r>
        <w:rPr>
          <w:rFonts w:ascii="宋体" w:hAnsi="宋体" w:cs="宋体"/>
          <w:sz w:val="24"/>
          <w:szCs w:val="24"/>
        </w:rPr>
        <w:t>操作完毕后及时清理、带走废物（如药瓶、剩余的药水）、死鼠、死蟑螂等，</w:t>
      </w:r>
      <w:r>
        <w:rPr>
          <w:rFonts w:hint="eastAsia" w:ascii="宋体" w:hAnsi="宋体" w:cs="宋体"/>
          <w:sz w:val="24"/>
          <w:szCs w:val="24"/>
        </w:rPr>
        <w:t>需按相关要求合法合规处理，</w:t>
      </w:r>
      <w:r>
        <w:rPr>
          <w:rFonts w:ascii="宋体" w:hAnsi="宋体" w:cs="宋体"/>
          <w:sz w:val="24"/>
          <w:szCs w:val="24"/>
        </w:rPr>
        <w:t>防止因施工产生的环境污染。</w:t>
      </w:r>
    </w:p>
    <w:p>
      <w:pPr>
        <w:pStyle w:val="12"/>
        <w:numPr>
          <w:ilvl w:val="0"/>
          <w:numId w:val="2"/>
        </w:numPr>
        <w:spacing w:line="360" w:lineRule="auto"/>
        <w:ind w:firstLine="480"/>
        <w:rPr>
          <w:rFonts w:ascii="宋体" w:hAnsi="宋体" w:cs="宋体"/>
          <w:sz w:val="24"/>
          <w:szCs w:val="24"/>
        </w:rPr>
      </w:pPr>
      <w:r>
        <w:rPr>
          <w:rFonts w:ascii="宋体" w:hAnsi="宋体" w:cs="宋体"/>
          <w:sz w:val="24"/>
          <w:szCs w:val="24"/>
        </w:rPr>
        <w:t>每次施工后要进行跟踪和回访，对本次服务效果不显著的场所12小时内进行补救。</w:t>
      </w:r>
    </w:p>
    <w:p>
      <w:pPr>
        <w:pStyle w:val="12"/>
        <w:numPr>
          <w:ilvl w:val="0"/>
          <w:numId w:val="2"/>
        </w:numPr>
        <w:spacing w:line="360" w:lineRule="auto"/>
        <w:ind w:firstLine="480"/>
        <w:rPr>
          <w:rFonts w:ascii="宋体" w:hAnsi="宋体" w:cs="宋体"/>
          <w:sz w:val="24"/>
          <w:szCs w:val="24"/>
        </w:rPr>
      </w:pPr>
      <w:r>
        <w:rPr>
          <w:rFonts w:ascii="宋体" w:hAnsi="宋体" w:cs="宋体"/>
          <w:sz w:val="24"/>
          <w:szCs w:val="24"/>
        </w:rPr>
        <w:t>爱卫办下发到采购人的药械、宣传资料等必须用于采购人单位，同时做好相关登记。</w:t>
      </w:r>
    </w:p>
    <w:p>
      <w:pPr>
        <w:pStyle w:val="12"/>
        <w:numPr>
          <w:ilvl w:val="0"/>
          <w:numId w:val="2"/>
        </w:numPr>
        <w:spacing w:line="360" w:lineRule="auto"/>
        <w:ind w:firstLine="480"/>
        <w:rPr>
          <w:rFonts w:ascii="宋体" w:hAnsi="宋体" w:cs="宋体"/>
          <w:sz w:val="24"/>
          <w:szCs w:val="24"/>
        </w:rPr>
      </w:pPr>
      <w:r>
        <w:rPr>
          <w:rFonts w:ascii="宋体" w:hAnsi="宋体" w:cs="宋体"/>
          <w:sz w:val="24"/>
          <w:szCs w:val="24"/>
        </w:rPr>
        <w:t>积极配合医院完成爱国卫生运动工作任务。</w:t>
      </w:r>
    </w:p>
    <w:p>
      <w:pPr>
        <w:pStyle w:val="12"/>
        <w:numPr>
          <w:ilvl w:val="0"/>
          <w:numId w:val="2"/>
        </w:numPr>
        <w:spacing w:line="360" w:lineRule="auto"/>
        <w:ind w:firstLine="480"/>
        <w:rPr>
          <w:rFonts w:ascii="宋体" w:hAnsi="宋体" w:cs="宋体"/>
          <w:sz w:val="24"/>
          <w:szCs w:val="24"/>
        </w:rPr>
      </w:pPr>
      <w:r>
        <w:rPr>
          <w:rFonts w:ascii="宋体" w:hAnsi="宋体" w:cs="宋体"/>
          <w:sz w:val="24"/>
          <w:szCs w:val="24"/>
        </w:rPr>
        <w:t>对于不符合采购人要求的项目施工员应及时更</w:t>
      </w:r>
      <w:r>
        <w:rPr>
          <w:rFonts w:hint="eastAsia" w:ascii="宋体" w:hAnsi="宋体" w:cs="宋体"/>
          <w:sz w:val="24"/>
          <w:szCs w:val="24"/>
        </w:rPr>
        <w:t>换。</w:t>
      </w:r>
    </w:p>
    <w:p>
      <w:pPr>
        <w:pStyle w:val="12"/>
        <w:numPr>
          <w:ilvl w:val="0"/>
          <w:numId w:val="2"/>
        </w:numPr>
        <w:spacing w:line="360" w:lineRule="auto"/>
        <w:ind w:firstLine="480"/>
        <w:rPr>
          <w:rFonts w:ascii="宋体" w:hAnsi="宋体" w:cs="宋体"/>
          <w:sz w:val="24"/>
          <w:szCs w:val="24"/>
        </w:rPr>
      </w:pPr>
      <w:r>
        <w:rPr>
          <w:rFonts w:ascii="宋体" w:hAnsi="宋体" w:cs="宋体"/>
          <w:sz w:val="24"/>
          <w:szCs w:val="24"/>
        </w:rPr>
        <w:t>必须严格按照医院疫情防控要求开展工作。</w:t>
      </w:r>
    </w:p>
    <w:p>
      <w:pPr>
        <w:pStyle w:val="18"/>
        <w:numPr>
          <w:ilvl w:val="0"/>
          <w:numId w:val="2"/>
        </w:numPr>
        <w:spacing w:line="360" w:lineRule="auto"/>
        <w:ind w:firstLine="480"/>
        <w:rPr>
          <w:sz w:val="24"/>
        </w:rPr>
      </w:pPr>
      <w:r>
        <w:rPr>
          <w:rFonts w:hint="eastAsia" w:ascii="宋体" w:hAnsi="宋体"/>
          <w:sz w:val="24"/>
        </w:rPr>
        <w:t>每月定期检查甲方的防蚊防鼠的物理设施（如防蚊网、防蚊闸等）完好情况并书面汇报</w:t>
      </w:r>
      <w:r>
        <w:rPr>
          <w:rFonts w:hint="eastAsia"/>
          <w:sz w:val="24"/>
        </w:rPr>
        <w:t>。</w:t>
      </w:r>
    </w:p>
    <w:p>
      <w:pPr>
        <w:numPr>
          <w:ilvl w:val="0"/>
          <w:numId w:val="1"/>
        </w:numPr>
        <w:tabs>
          <w:tab w:val="left" w:pos="709"/>
          <w:tab w:val="left" w:pos="993"/>
        </w:tabs>
        <w:spacing w:before="156" w:beforeLines="50" w:after="156" w:afterLines="50" w:line="360" w:lineRule="auto"/>
        <w:ind w:hanging="988"/>
        <w:rPr>
          <w:rFonts w:ascii="宋体" w:hAnsi="宋体" w:cs="宋体"/>
          <w:b/>
          <w:sz w:val="24"/>
          <w:szCs w:val="24"/>
        </w:rPr>
      </w:pPr>
      <w:r>
        <w:rPr>
          <w:rFonts w:ascii="宋体" w:hAnsi="宋体" w:cs="宋体"/>
          <w:b/>
          <w:sz w:val="24"/>
          <w:szCs w:val="24"/>
        </w:rPr>
        <w:t>病媒生物防制作业流程</w:t>
      </w:r>
    </w:p>
    <w:p>
      <w:pPr>
        <w:spacing w:line="360" w:lineRule="auto"/>
        <w:ind w:firstLine="484" w:firstLineChars="202"/>
        <w:rPr>
          <w:rFonts w:ascii="宋体" w:hAnsi="宋体" w:cs="宋体"/>
          <w:sz w:val="24"/>
          <w:szCs w:val="24"/>
        </w:rPr>
      </w:pPr>
      <w:r>
        <w:rPr>
          <w:rFonts w:ascii="宋体" w:hAnsi="宋体" w:cs="宋体"/>
          <w:sz w:val="24"/>
          <w:szCs w:val="24"/>
        </w:rPr>
        <w:t>1、每月初与采购人主管人员约定时间，并在院内出通知告知。</w:t>
      </w:r>
    </w:p>
    <w:p>
      <w:pPr>
        <w:spacing w:line="360" w:lineRule="auto"/>
        <w:ind w:firstLine="484" w:firstLineChars="202"/>
        <w:rPr>
          <w:rFonts w:ascii="宋体" w:hAnsi="宋体" w:cs="宋体"/>
          <w:sz w:val="24"/>
          <w:szCs w:val="24"/>
        </w:rPr>
      </w:pPr>
      <w:r>
        <w:rPr>
          <w:rFonts w:ascii="宋体" w:hAnsi="宋体" w:cs="宋体"/>
          <w:sz w:val="24"/>
          <w:szCs w:val="24"/>
        </w:rPr>
        <w:t>2、按计划到现场实施服务（现场操作前请采购人确认服务内容、范围、药品、种类、浓度、用量及操作方法）。</w:t>
      </w:r>
    </w:p>
    <w:p>
      <w:pPr>
        <w:spacing w:line="360" w:lineRule="auto"/>
        <w:ind w:firstLine="484" w:firstLineChars="202"/>
        <w:rPr>
          <w:rFonts w:ascii="宋体" w:hAnsi="宋体" w:cs="宋体"/>
          <w:sz w:val="24"/>
          <w:szCs w:val="24"/>
        </w:rPr>
      </w:pPr>
      <w:r>
        <w:rPr>
          <w:rFonts w:ascii="宋体" w:hAnsi="宋体" w:cs="宋体"/>
          <w:sz w:val="24"/>
          <w:szCs w:val="24"/>
        </w:rPr>
        <w:t>3、操作完毕后清理现场（清理回收药瓶、鼠虫尸体）并消毒。</w:t>
      </w:r>
    </w:p>
    <w:p>
      <w:pPr>
        <w:spacing w:line="360" w:lineRule="auto"/>
        <w:ind w:firstLine="484" w:firstLineChars="202"/>
        <w:rPr>
          <w:rFonts w:ascii="宋体" w:hAnsi="宋体" w:cs="宋体"/>
          <w:sz w:val="24"/>
          <w:szCs w:val="24"/>
        </w:rPr>
      </w:pPr>
      <w:r>
        <w:rPr>
          <w:rFonts w:ascii="宋体" w:hAnsi="宋体" w:cs="宋体"/>
          <w:sz w:val="24"/>
          <w:szCs w:val="24"/>
        </w:rPr>
        <w:t>4、填写现场服务确认表（双方确认本次服务质量）。</w:t>
      </w:r>
    </w:p>
    <w:p>
      <w:pPr>
        <w:spacing w:line="360" w:lineRule="auto"/>
        <w:ind w:firstLine="484" w:firstLineChars="202"/>
        <w:rPr>
          <w:rFonts w:ascii="宋体" w:hAnsi="宋体" w:cs="宋体"/>
          <w:sz w:val="24"/>
          <w:szCs w:val="24"/>
        </w:rPr>
      </w:pPr>
      <w:r>
        <w:rPr>
          <w:rFonts w:ascii="宋体" w:hAnsi="宋体" w:cs="宋体"/>
          <w:sz w:val="24"/>
          <w:szCs w:val="24"/>
        </w:rPr>
        <w:t>5、电话或现场回访（本次服务若有不足之处，成交供应商将在回访后12小时内到现场补杀）。</w:t>
      </w:r>
    </w:p>
    <w:p>
      <w:pPr>
        <w:spacing w:line="360" w:lineRule="auto"/>
        <w:ind w:firstLine="484" w:firstLineChars="202"/>
        <w:rPr>
          <w:rFonts w:ascii="宋体" w:hAnsi="宋体" w:cs="宋体"/>
          <w:sz w:val="24"/>
          <w:szCs w:val="24"/>
        </w:rPr>
      </w:pPr>
      <w:r>
        <w:rPr>
          <w:rFonts w:ascii="宋体" w:hAnsi="宋体" w:cs="宋体"/>
          <w:sz w:val="24"/>
          <w:szCs w:val="24"/>
        </w:rPr>
        <w:t>6、跟踪服务质量，填写消杀效果回访表。</w:t>
      </w:r>
    </w:p>
    <w:p>
      <w:pPr>
        <w:pStyle w:val="18"/>
        <w:ind w:firstLine="480"/>
        <w:rPr>
          <w:sz w:val="24"/>
        </w:rPr>
      </w:pPr>
    </w:p>
    <w:p>
      <w:pPr>
        <w:numPr>
          <w:ilvl w:val="0"/>
          <w:numId w:val="1"/>
        </w:numPr>
        <w:tabs>
          <w:tab w:val="left" w:pos="709"/>
          <w:tab w:val="left" w:pos="993"/>
        </w:tabs>
        <w:spacing w:before="156" w:beforeLines="50" w:after="156" w:afterLines="50" w:line="360" w:lineRule="auto"/>
        <w:ind w:hanging="988"/>
        <w:rPr>
          <w:rFonts w:ascii="宋体" w:hAnsi="宋体"/>
          <w:b/>
          <w:sz w:val="24"/>
          <w:szCs w:val="24"/>
        </w:rPr>
      </w:pPr>
      <w:r>
        <w:rPr>
          <w:rFonts w:ascii="宋体" w:hAnsi="宋体" w:cs="宋体"/>
          <w:b/>
          <w:sz w:val="24"/>
          <w:szCs w:val="24"/>
        </w:rPr>
        <w:t>操作过程管理规定</w:t>
      </w:r>
    </w:p>
    <w:p>
      <w:pPr>
        <w:spacing w:line="360" w:lineRule="auto"/>
        <w:ind w:firstLine="484" w:firstLineChars="202"/>
        <w:rPr>
          <w:rFonts w:ascii="宋体" w:hAnsi="宋体" w:cs="宋体"/>
          <w:sz w:val="24"/>
          <w:szCs w:val="24"/>
        </w:rPr>
      </w:pPr>
      <w:r>
        <w:rPr>
          <w:rFonts w:ascii="宋体" w:hAnsi="宋体" w:cs="宋体"/>
          <w:sz w:val="24"/>
          <w:szCs w:val="24"/>
        </w:rPr>
        <w:t>1、严格按《广州</w:t>
      </w:r>
      <w:r>
        <w:rPr>
          <w:rFonts w:hint="eastAsia" w:ascii="宋体" w:hAnsi="宋体" w:cs="宋体"/>
          <w:sz w:val="24"/>
          <w:szCs w:val="24"/>
        </w:rPr>
        <w:t>市灭鼠杀虫服务行业管理办法》相关规定进行灭鼠杀虫服务，确保采购人病媒生物防制在达标范围内。</w:t>
      </w:r>
    </w:p>
    <w:p>
      <w:pPr>
        <w:spacing w:line="360" w:lineRule="auto"/>
        <w:ind w:firstLine="484" w:firstLineChars="202"/>
        <w:rPr>
          <w:rFonts w:ascii="宋体" w:hAnsi="宋体" w:cs="宋体"/>
          <w:sz w:val="24"/>
          <w:szCs w:val="24"/>
        </w:rPr>
      </w:pPr>
      <w:r>
        <w:rPr>
          <w:rFonts w:ascii="宋体" w:hAnsi="宋体" w:cs="宋体"/>
          <w:sz w:val="24"/>
          <w:szCs w:val="24"/>
        </w:rPr>
        <w:t>2、工作准时完成，保证质量。</w:t>
      </w:r>
    </w:p>
    <w:p>
      <w:pPr>
        <w:spacing w:line="360" w:lineRule="auto"/>
        <w:ind w:firstLine="484" w:firstLineChars="202"/>
        <w:rPr>
          <w:rFonts w:ascii="宋体" w:hAnsi="宋体" w:cs="宋体"/>
          <w:sz w:val="24"/>
          <w:szCs w:val="24"/>
        </w:rPr>
      </w:pPr>
      <w:r>
        <w:rPr>
          <w:rFonts w:ascii="宋体" w:hAnsi="宋体" w:cs="宋体"/>
          <w:sz w:val="24"/>
          <w:szCs w:val="24"/>
        </w:rPr>
        <w:t>3、所有杀虫剂必须保存在原来的容器中，均应有标签，且标签内容清晰，正确储存。</w:t>
      </w:r>
    </w:p>
    <w:p>
      <w:pPr>
        <w:spacing w:line="360" w:lineRule="auto"/>
        <w:ind w:firstLine="484" w:firstLineChars="202"/>
        <w:rPr>
          <w:rFonts w:ascii="宋体" w:hAnsi="宋体" w:cs="宋体"/>
          <w:sz w:val="24"/>
          <w:szCs w:val="24"/>
        </w:rPr>
      </w:pPr>
      <w:r>
        <w:rPr>
          <w:rFonts w:ascii="宋体" w:hAnsi="宋体" w:cs="宋体"/>
          <w:sz w:val="24"/>
          <w:szCs w:val="24"/>
        </w:rPr>
        <w:t>4、杀虫剂要有国家和地方有关管理机构认可、批准，提供使用、保管规程，安全资料和标签，药物必须分开使用。</w:t>
      </w:r>
    </w:p>
    <w:p>
      <w:pPr>
        <w:spacing w:line="360" w:lineRule="auto"/>
        <w:ind w:firstLine="484" w:firstLineChars="202"/>
        <w:rPr>
          <w:rFonts w:ascii="宋体" w:hAnsi="宋体" w:cs="宋体"/>
          <w:sz w:val="24"/>
          <w:szCs w:val="24"/>
        </w:rPr>
      </w:pPr>
      <w:r>
        <w:rPr>
          <w:rFonts w:ascii="宋体" w:hAnsi="宋体" w:cs="宋体"/>
          <w:sz w:val="24"/>
          <w:szCs w:val="24"/>
        </w:rPr>
        <w:t>5、所有害虫、害鼠控制器材的放置，不得污染产品及所有原材物料、包装材料和设备。</w:t>
      </w:r>
    </w:p>
    <w:p>
      <w:pPr>
        <w:spacing w:line="360" w:lineRule="auto"/>
        <w:ind w:firstLine="484" w:firstLineChars="202"/>
        <w:rPr>
          <w:rFonts w:ascii="宋体" w:hAnsi="宋体" w:cs="宋体"/>
          <w:sz w:val="24"/>
          <w:szCs w:val="24"/>
        </w:rPr>
      </w:pPr>
      <w:r>
        <w:rPr>
          <w:rFonts w:ascii="宋体" w:hAnsi="宋体" w:cs="宋体"/>
          <w:sz w:val="24"/>
          <w:szCs w:val="24"/>
        </w:rPr>
        <w:t>6、喷雾器等器具，必须贴有名称和杀虫剂浓度的标签，且不得用于其它目的；设备必须保养良好且没有泄漏。</w:t>
      </w:r>
    </w:p>
    <w:p>
      <w:pPr>
        <w:spacing w:line="360" w:lineRule="auto"/>
        <w:ind w:firstLine="484" w:firstLineChars="202"/>
        <w:rPr>
          <w:rFonts w:ascii="宋体" w:hAnsi="宋体" w:cs="宋体"/>
          <w:sz w:val="24"/>
          <w:szCs w:val="24"/>
        </w:rPr>
      </w:pPr>
      <w:r>
        <w:rPr>
          <w:rFonts w:ascii="宋体" w:hAnsi="宋体" w:cs="宋体"/>
          <w:sz w:val="24"/>
          <w:szCs w:val="24"/>
        </w:rPr>
        <w:t>7、每半年提交一份消杀计划、总</w:t>
      </w:r>
      <w:r>
        <w:rPr>
          <w:rFonts w:hint="eastAsia" w:ascii="宋体" w:hAnsi="宋体" w:cs="宋体"/>
          <w:sz w:val="24"/>
          <w:szCs w:val="24"/>
        </w:rPr>
        <w:t>结。</w:t>
      </w:r>
    </w:p>
    <w:p>
      <w:pPr>
        <w:spacing w:line="360" w:lineRule="auto"/>
        <w:ind w:firstLine="484" w:firstLineChars="202"/>
        <w:rPr>
          <w:rFonts w:ascii="宋体" w:hAnsi="宋体" w:cs="宋体"/>
          <w:sz w:val="24"/>
          <w:szCs w:val="24"/>
        </w:rPr>
      </w:pPr>
      <w:r>
        <w:rPr>
          <w:rFonts w:hint="eastAsia" w:ascii="宋体" w:hAnsi="宋体" w:cs="宋体"/>
          <w:sz w:val="24"/>
          <w:szCs w:val="24"/>
        </w:rPr>
        <w:t>8、服务过程中产生的废弃消杀用品须由成交供应商按相关法律法规处理清运。</w:t>
      </w:r>
    </w:p>
    <w:p>
      <w:pPr>
        <w:pStyle w:val="18"/>
        <w:ind w:firstLine="480"/>
        <w:rPr>
          <w:sz w:val="24"/>
        </w:rPr>
      </w:pPr>
    </w:p>
    <w:p>
      <w:pPr>
        <w:numPr>
          <w:ilvl w:val="0"/>
          <w:numId w:val="1"/>
        </w:numPr>
        <w:tabs>
          <w:tab w:val="left" w:pos="709"/>
          <w:tab w:val="left" w:pos="993"/>
        </w:tabs>
        <w:spacing w:before="156" w:beforeLines="50" w:after="156" w:afterLines="50" w:line="360" w:lineRule="auto"/>
        <w:ind w:hanging="988"/>
        <w:rPr>
          <w:rFonts w:ascii="宋体" w:hAnsi="宋体" w:cs="宋体"/>
          <w:b/>
          <w:sz w:val="24"/>
          <w:szCs w:val="24"/>
        </w:rPr>
      </w:pPr>
      <w:r>
        <w:rPr>
          <w:rFonts w:ascii="宋体" w:hAnsi="宋体" w:cs="宋体"/>
          <w:b/>
          <w:sz w:val="24"/>
          <w:szCs w:val="24"/>
        </w:rPr>
        <w:t>服务质量考评要求</w:t>
      </w:r>
    </w:p>
    <w:p>
      <w:pPr>
        <w:spacing w:line="360" w:lineRule="auto"/>
        <w:ind w:firstLine="484" w:firstLineChars="202"/>
        <w:rPr>
          <w:rFonts w:ascii="宋体" w:hAnsi="宋体" w:cs="宋体"/>
          <w:sz w:val="24"/>
          <w:szCs w:val="24"/>
        </w:rPr>
      </w:pPr>
      <w:r>
        <w:rPr>
          <w:rFonts w:ascii="宋体" w:hAnsi="宋体" w:cs="宋体"/>
          <w:sz w:val="24"/>
          <w:szCs w:val="24"/>
        </w:rPr>
        <w:t>1、在合同期内，由采购人主管部门每月对成交供应商的服务质量按照《番禺区中心医院病媒生物防制服务质量评价表》进行考评，考评结果与服务费挂钩。考评表为</w:t>
      </w:r>
      <w:r>
        <w:rPr>
          <w:rFonts w:hint="eastAsia" w:ascii="宋体" w:hAnsi="宋体" w:cs="宋体"/>
          <w:sz w:val="24"/>
          <w:szCs w:val="24"/>
        </w:rPr>
        <w:t>院本部</w:t>
      </w:r>
      <w:r>
        <w:rPr>
          <w:rFonts w:ascii="宋体" w:hAnsi="宋体" w:cs="宋体"/>
          <w:sz w:val="24"/>
          <w:szCs w:val="24"/>
        </w:rPr>
        <w:t>、</w:t>
      </w:r>
      <w:r>
        <w:rPr>
          <w:rFonts w:hint="eastAsia" w:ascii="宋体" w:hAnsi="宋体" w:cs="宋体"/>
          <w:sz w:val="24"/>
          <w:szCs w:val="24"/>
        </w:rPr>
        <w:t>东院区</w:t>
      </w:r>
      <w:r>
        <w:rPr>
          <w:rFonts w:ascii="宋体" w:hAnsi="宋体" w:cs="宋体"/>
          <w:sz w:val="24"/>
          <w:szCs w:val="24"/>
        </w:rPr>
        <w:t>分别考评，考评结果均与服务费挂钩。具体考评如下：</w:t>
      </w:r>
    </w:p>
    <w:p>
      <w:pPr>
        <w:spacing w:line="360" w:lineRule="auto"/>
        <w:ind w:firstLine="484" w:firstLineChars="202"/>
        <w:rPr>
          <w:rFonts w:ascii="宋体" w:hAnsi="宋体" w:cs="宋体"/>
          <w:sz w:val="24"/>
          <w:szCs w:val="24"/>
        </w:rPr>
      </w:pPr>
      <w:r>
        <w:rPr>
          <w:rFonts w:ascii="宋体" w:hAnsi="宋体" w:cs="宋体"/>
          <w:sz w:val="24"/>
          <w:szCs w:val="24"/>
        </w:rPr>
        <w:t>（1）总分100分，得分</w:t>
      </w:r>
      <w:r>
        <w:rPr>
          <w:rFonts w:hint="eastAsia" w:ascii="宋体" w:hAnsi="宋体" w:cs="宋体"/>
          <w:sz w:val="24"/>
          <w:szCs w:val="24"/>
        </w:rPr>
        <w:t>≥</w:t>
      </w:r>
      <w:r>
        <w:rPr>
          <w:rFonts w:ascii="宋体" w:hAnsi="宋体" w:cs="宋体"/>
          <w:sz w:val="24"/>
          <w:szCs w:val="24"/>
        </w:rPr>
        <w:t>85</w:t>
      </w:r>
      <w:r>
        <w:rPr>
          <w:rFonts w:hint="eastAsia" w:ascii="宋体" w:hAnsi="宋体" w:cs="宋体"/>
          <w:sz w:val="24"/>
          <w:szCs w:val="24"/>
        </w:rPr>
        <w:t>分</w:t>
      </w:r>
      <w:r>
        <w:rPr>
          <w:rFonts w:ascii="宋体" w:hAnsi="宋体" w:cs="宋体"/>
          <w:sz w:val="24"/>
          <w:szCs w:val="24"/>
        </w:rPr>
        <w:t>为合格，全额支付当月服务费；</w:t>
      </w:r>
    </w:p>
    <w:p>
      <w:pPr>
        <w:spacing w:line="360" w:lineRule="auto"/>
        <w:ind w:firstLine="484" w:firstLineChars="202"/>
        <w:rPr>
          <w:rFonts w:ascii="宋体" w:hAnsi="宋体" w:cs="宋体"/>
          <w:sz w:val="24"/>
          <w:szCs w:val="24"/>
        </w:rPr>
      </w:pPr>
      <w:r>
        <w:rPr>
          <w:rFonts w:ascii="宋体" w:hAnsi="宋体" w:cs="宋体"/>
          <w:sz w:val="24"/>
          <w:szCs w:val="24"/>
        </w:rPr>
        <w:t>（2）得分＜85分为不合格，每下降1分扣当月服务费的1％，如此类推</w:t>
      </w:r>
      <w:r>
        <w:rPr>
          <w:rFonts w:hint="eastAsia" w:ascii="宋体" w:hAnsi="宋体" w:cs="宋体"/>
          <w:sz w:val="24"/>
          <w:szCs w:val="24"/>
        </w:rPr>
        <w:t>；</w:t>
      </w:r>
    </w:p>
    <w:p>
      <w:pPr>
        <w:spacing w:line="360" w:lineRule="auto"/>
        <w:ind w:firstLine="484" w:firstLineChars="202"/>
        <w:rPr>
          <w:rFonts w:ascii="宋体" w:hAnsi="宋体" w:cs="宋体"/>
          <w:sz w:val="24"/>
          <w:szCs w:val="24"/>
        </w:rPr>
      </w:pPr>
      <w:r>
        <w:rPr>
          <w:rFonts w:ascii="宋体" w:hAnsi="宋体" w:cs="宋体"/>
          <w:sz w:val="24"/>
          <w:szCs w:val="24"/>
        </w:rPr>
        <w:t>（</w:t>
      </w:r>
      <w:r>
        <w:rPr>
          <w:rFonts w:hint="eastAsia" w:ascii="宋体" w:hAnsi="宋体" w:cs="宋体"/>
          <w:sz w:val="24"/>
          <w:szCs w:val="24"/>
        </w:rPr>
        <w:t>3</w:t>
      </w:r>
      <w:r>
        <w:rPr>
          <w:rFonts w:ascii="宋体" w:hAnsi="宋体" w:cs="宋体"/>
          <w:sz w:val="24"/>
          <w:szCs w:val="24"/>
        </w:rPr>
        <w:t>）连续3个月得分＜85分的，采购人有权终止合同。</w:t>
      </w:r>
    </w:p>
    <w:p>
      <w:pPr>
        <w:spacing w:line="360" w:lineRule="auto"/>
        <w:ind w:firstLine="484" w:firstLineChars="202"/>
        <w:rPr>
          <w:rFonts w:ascii="宋体" w:hAnsi="宋体" w:cs="宋体"/>
          <w:sz w:val="24"/>
          <w:szCs w:val="24"/>
        </w:rPr>
      </w:pPr>
      <w:r>
        <w:rPr>
          <w:rFonts w:ascii="宋体" w:hAnsi="宋体" w:cs="宋体"/>
          <w:sz w:val="24"/>
          <w:szCs w:val="24"/>
        </w:rPr>
        <w:t>2、</w:t>
      </w:r>
      <w:r>
        <w:rPr>
          <w:rFonts w:hint="eastAsia" w:ascii="宋体" w:hAnsi="宋体" w:cs="宋体"/>
          <w:sz w:val="24"/>
          <w:szCs w:val="24"/>
        </w:rPr>
        <w:t>在服务期内，成交供应商如果出现下列情形不达标的，采购人有权根据服务考评情况扣罚服务费，情节严重采购人有权终止本合同。</w:t>
      </w:r>
    </w:p>
    <w:p>
      <w:pPr>
        <w:spacing w:line="360" w:lineRule="auto"/>
        <w:ind w:firstLine="484" w:firstLineChars="202"/>
        <w:rPr>
          <w:rFonts w:ascii="宋体" w:hAnsi="宋体" w:cs="宋体"/>
          <w:sz w:val="24"/>
          <w:szCs w:val="24"/>
        </w:rPr>
      </w:pPr>
      <w:r>
        <w:rPr>
          <w:rFonts w:ascii="宋体" w:hAnsi="宋体" w:cs="宋体"/>
          <w:sz w:val="24"/>
          <w:szCs w:val="24"/>
        </w:rPr>
        <w:t>（1）活鼠、新鲜鼠咬痕、新鲜鼠粪超标的；</w:t>
      </w:r>
    </w:p>
    <w:p>
      <w:pPr>
        <w:spacing w:line="360" w:lineRule="auto"/>
        <w:ind w:firstLine="484" w:firstLineChars="202"/>
        <w:rPr>
          <w:rFonts w:ascii="宋体" w:hAnsi="宋体" w:cs="宋体"/>
          <w:sz w:val="24"/>
          <w:szCs w:val="24"/>
        </w:rPr>
      </w:pPr>
      <w:r>
        <w:rPr>
          <w:rFonts w:ascii="宋体" w:hAnsi="宋体" w:cs="宋体"/>
          <w:sz w:val="24"/>
          <w:szCs w:val="24"/>
        </w:rPr>
        <w:t>（2）成蝇、成蚊、蟑螂等成虫密度超标的。</w:t>
      </w:r>
    </w:p>
    <w:p>
      <w:pPr>
        <w:spacing w:line="360" w:lineRule="auto"/>
        <w:ind w:firstLine="484" w:firstLineChars="202"/>
        <w:rPr>
          <w:rFonts w:ascii="宋体" w:hAnsi="宋体" w:cs="宋体"/>
          <w:sz w:val="24"/>
          <w:szCs w:val="24"/>
        </w:rPr>
      </w:pPr>
      <w:r>
        <w:rPr>
          <w:rFonts w:ascii="宋体" w:hAnsi="宋体" w:cs="宋体"/>
          <w:sz w:val="24"/>
          <w:szCs w:val="24"/>
        </w:rPr>
        <w:t>（3）工作要求和效果标准：</w:t>
      </w:r>
    </w:p>
    <w:p>
      <w:pPr>
        <w:spacing w:line="360" w:lineRule="auto"/>
        <w:ind w:firstLine="484" w:firstLineChars="202"/>
        <w:rPr>
          <w:rFonts w:ascii="宋体" w:hAnsi="宋体" w:cs="宋体"/>
          <w:sz w:val="24"/>
          <w:szCs w:val="24"/>
        </w:rPr>
      </w:pPr>
      <w:r>
        <w:rPr>
          <w:rFonts w:ascii="宋体" w:hAnsi="宋体" w:cs="宋体"/>
          <w:sz w:val="24"/>
          <w:szCs w:val="24"/>
        </w:rPr>
        <w:t>①灭鼠：采用药杀为主，器械捕灭为辅的综合方法。各栋楼层所有公共区域、设备房、电房采用定点投放灭鼠药饵。通道每7-10米处布放一堆药饵；设备房、管道每个布放一堆药饵，每堆药饵约30-50克。绿化带应用防潮的小塑料袋装灭鼠毒饵，定点投放，定期交替使用药物避免产生适应性。投（施）药前必须</w:t>
      </w:r>
      <w:r>
        <w:rPr>
          <w:rFonts w:hint="eastAsia" w:ascii="宋体" w:hAnsi="宋体" w:cs="宋体"/>
          <w:sz w:val="24"/>
          <w:szCs w:val="24"/>
        </w:rPr>
        <w:t>在院内明显场所出通知，消杀后要及时跟进效果，并即时清理死老鼠，消杀效果不达标要及时补救，效果标准：室内粉块阳性率不超</w:t>
      </w:r>
      <w:r>
        <w:rPr>
          <w:rFonts w:ascii="宋体" w:hAnsi="宋体" w:cs="宋体"/>
          <w:sz w:val="24"/>
          <w:szCs w:val="24"/>
        </w:rPr>
        <w:t>3%，有鼠洞、鼠粪、鼠咬痕的房间不超2%，药库等重点场所无鼠迹，防鼠设施合格率达100%，外环境无鼠活动痕迹。</w:t>
      </w:r>
    </w:p>
    <w:p>
      <w:pPr>
        <w:spacing w:line="360" w:lineRule="auto"/>
        <w:ind w:firstLine="484" w:firstLineChars="202"/>
        <w:rPr>
          <w:rFonts w:ascii="宋体" w:hAnsi="宋体" w:cs="宋体"/>
          <w:sz w:val="24"/>
          <w:szCs w:val="24"/>
        </w:rPr>
      </w:pPr>
      <w:r>
        <w:rPr>
          <w:rFonts w:ascii="宋体" w:hAnsi="宋体" w:cs="宋体"/>
          <w:sz w:val="24"/>
          <w:szCs w:val="24"/>
        </w:rPr>
        <w:t>②灭蚊：室外、地下室、各楼层所有通道、走火通道、洗手间、下水道、绿化带等采用菊酯类杀虫剂进行空间喷洒，水井、沟渠等积水处投放药物，各类药物均要具有击倒效果强，致死作用好，滞留残效期长且对人安全无明显刺激作用，喷洒于玻璃板、胶合板、水泥板等表面无明显痕迹，适用于任何场所使用。室内区域采</w:t>
      </w:r>
      <w:r>
        <w:rPr>
          <w:rFonts w:hint="eastAsia" w:ascii="宋体" w:hAnsi="宋体" w:cs="宋体"/>
          <w:sz w:val="24"/>
          <w:szCs w:val="24"/>
        </w:rPr>
        <w:t>用安全无味无毒药物消杀。效果标准：室内外小型积水蚊幼虫阳性率不超过</w:t>
      </w:r>
      <w:r>
        <w:rPr>
          <w:rFonts w:ascii="宋体" w:hAnsi="宋体" w:cs="宋体"/>
          <w:sz w:val="24"/>
          <w:szCs w:val="24"/>
        </w:rPr>
        <w:t>2%，成蚊的停落指数小于1</w:t>
      </w:r>
      <w:r>
        <w:rPr>
          <w:rFonts w:hint="eastAsia" w:ascii="宋体" w:hAnsi="宋体" w:cs="宋体"/>
          <w:sz w:val="24"/>
          <w:szCs w:val="24"/>
        </w:rPr>
        <w:t>只</w:t>
      </w:r>
      <w:r>
        <w:rPr>
          <w:rFonts w:ascii="宋体" w:hAnsi="宋体" w:cs="宋体"/>
          <w:sz w:val="24"/>
          <w:szCs w:val="24"/>
        </w:rPr>
        <w:t>/(人·30 min)，室内无成蚊骚扰。</w:t>
      </w:r>
    </w:p>
    <w:p>
      <w:pPr>
        <w:spacing w:line="360" w:lineRule="auto"/>
        <w:ind w:firstLine="484" w:firstLineChars="202"/>
        <w:rPr>
          <w:rFonts w:ascii="宋体" w:hAnsi="宋体" w:cs="宋体"/>
          <w:sz w:val="24"/>
          <w:szCs w:val="24"/>
        </w:rPr>
      </w:pPr>
      <w:r>
        <w:rPr>
          <w:rFonts w:ascii="宋体" w:hAnsi="宋体" w:cs="宋体"/>
          <w:sz w:val="24"/>
          <w:szCs w:val="24"/>
        </w:rPr>
        <w:t>③灭蝇：对垃圾收集点、垃圾房、食堂周围、重点地方的树木、绿化带用常量的药物滞留喷洒，对餐室、更衣室、洗手间、大堂、通道等区域进行空间喷洒，通道一米以内区域进行手压式喷雾器滞留喷洒，效果不达标要及时补救。工程使用的各类药用均具有击倒效果强，致死作用好，滞留效期长且对人安全，无明显刺激作用，适用于任何场所使用。效果标准：有蝇房间不超过1%，平均每阳性房间不超过3只，医院饭堂等重点场所防蝇设施合格率应达</w:t>
      </w:r>
      <w:r>
        <w:rPr>
          <w:rFonts w:hint="eastAsia" w:ascii="宋体" w:hAnsi="宋体" w:cs="宋体"/>
          <w:sz w:val="24"/>
          <w:szCs w:val="24"/>
        </w:rPr>
        <w:t>到</w:t>
      </w:r>
      <w:r>
        <w:rPr>
          <w:rFonts w:ascii="宋体" w:hAnsi="宋体" w:cs="宋体"/>
          <w:sz w:val="24"/>
          <w:szCs w:val="24"/>
        </w:rPr>
        <w:t>95%以上，销售直接入口食品的场所不得有蝇，外环境无蝇幼虫及蛹孳生。</w:t>
      </w:r>
    </w:p>
    <w:p>
      <w:pPr>
        <w:spacing w:line="360" w:lineRule="auto"/>
        <w:ind w:firstLine="484" w:firstLineChars="202"/>
        <w:rPr>
          <w:rFonts w:ascii="宋体" w:hAnsi="宋体" w:cs="宋体"/>
          <w:sz w:val="24"/>
          <w:szCs w:val="24"/>
        </w:rPr>
      </w:pPr>
      <w:r>
        <w:rPr>
          <w:rFonts w:ascii="宋体" w:hAnsi="宋体" w:cs="宋体"/>
          <w:sz w:val="24"/>
          <w:szCs w:val="24"/>
        </w:rPr>
        <w:t>④灭蟑螂：主要处理医院内的所有餐室、公共通道、茶水间，管井设备房，洗手间、沟渠、垃圾房进行滞留喷洒、对外围沙井，下水道采用烟薰，重点场所每周不少于1次，对厨房内的部分墙壁缝隙、炉具缝隙等地方用进口药物进行喷杀。对敏感区域发现有蟑螂的地方每周不少于1次检查布放灭蟑诱饵，每种药物使用必须对人安全，适用于任何场所使用。若效果不达标的要及时补救。效果标准：室内有蟑螂成虫或若虫阳性房间不超过3%，有活动蟑螂卵房间不超2%，有蟑螂粪便、蜕皮等蟑迹的</w:t>
      </w:r>
      <w:r>
        <w:rPr>
          <w:rFonts w:hint="eastAsia" w:ascii="宋体" w:hAnsi="宋体" w:cs="宋体"/>
          <w:sz w:val="24"/>
          <w:szCs w:val="24"/>
        </w:rPr>
        <w:t>房间不超过</w:t>
      </w:r>
      <w:r>
        <w:rPr>
          <w:rFonts w:ascii="宋体" w:hAnsi="宋体" w:cs="宋体"/>
          <w:sz w:val="24"/>
          <w:szCs w:val="24"/>
        </w:rPr>
        <w:t>5%。</w:t>
      </w:r>
    </w:p>
    <w:p>
      <w:pPr>
        <w:spacing w:line="360" w:lineRule="auto"/>
        <w:ind w:firstLine="484" w:firstLineChars="202"/>
        <w:rPr>
          <w:rFonts w:ascii="宋体" w:hAnsi="宋体" w:cs="宋体"/>
          <w:sz w:val="24"/>
          <w:szCs w:val="24"/>
        </w:rPr>
      </w:pPr>
      <w:r>
        <w:rPr>
          <w:rFonts w:ascii="宋体" w:hAnsi="宋体" w:cs="宋体"/>
          <w:sz w:val="24"/>
          <w:szCs w:val="24"/>
        </w:rPr>
        <w:t>⑤灭红火蚁：负责服务范围内的红火蚁消杀。</w:t>
      </w:r>
    </w:p>
    <w:p>
      <w:pPr>
        <w:spacing w:line="360" w:lineRule="auto"/>
        <w:ind w:firstLine="484" w:firstLineChars="202"/>
        <w:rPr>
          <w:rFonts w:ascii="宋体" w:hAnsi="宋体" w:cs="宋体"/>
          <w:sz w:val="24"/>
          <w:szCs w:val="24"/>
        </w:rPr>
      </w:pPr>
      <w:r>
        <w:rPr>
          <w:rFonts w:ascii="宋体" w:hAnsi="宋体" w:cs="宋体"/>
          <w:sz w:val="24"/>
          <w:szCs w:val="24"/>
        </w:rPr>
        <w:t>⑥白蚁防治：定期检查全院范围内绿化及建筑物是否有白蚁侵蚀，并开展有效防治工作。</w:t>
      </w:r>
    </w:p>
    <w:p>
      <w:pPr>
        <w:spacing w:line="360" w:lineRule="auto"/>
        <w:ind w:firstLine="484" w:firstLineChars="202"/>
        <w:rPr>
          <w:rFonts w:ascii="宋体" w:hAnsi="宋体" w:cs="宋体"/>
          <w:sz w:val="24"/>
          <w:szCs w:val="24"/>
        </w:rPr>
      </w:pPr>
      <w:r>
        <w:rPr>
          <w:rFonts w:ascii="宋体" w:hAnsi="宋体" w:cs="宋体"/>
          <w:sz w:val="24"/>
          <w:szCs w:val="24"/>
        </w:rPr>
        <w:t>⑦毒蛇防治：制定有效防治方案并落实。</w:t>
      </w:r>
    </w:p>
    <w:p>
      <w:pPr>
        <w:spacing w:line="360" w:lineRule="auto"/>
        <w:ind w:firstLine="484" w:firstLineChars="202"/>
        <w:rPr>
          <w:rFonts w:ascii="宋体" w:hAnsi="宋体" w:cs="宋体"/>
          <w:sz w:val="24"/>
          <w:szCs w:val="24"/>
        </w:rPr>
      </w:pPr>
      <w:r>
        <w:rPr>
          <w:rFonts w:ascii="宋体" w:hAnsi="宋体" w:cs="宋体"/>
          <w:sz w:val="24"/>
          <w:szCs w:val="24"/>
        </w:rPr>
        <w:t>⑧图书室和病理科害虫消杀：定期到图书室和病理科检查害虫情况，发现害虫及时消杀，并做好记录。</w:t>
      </w:r>
    </w:p>
    <w:p>
      <w:pPr>
        <w:pStyle w:val="18"/>
        <w:ind w:firstLine="480"/>
        <w:rPr>
          <w:sz w:val="24"/>
        </w:rPr>
      </w:pPr>
    </w:p>
    <w:p>
      <w:pPr>
        <w:numPr>
          <w:ilvl w:val="0"/>
          <w:numId w:val="1"/>
        </w:numPr>
        <w:tabs>
          <w:tab w:val="left" w:pos="709"/>
          <w:tab w:val="left" w:pos="993"/>
        </w:tabs>
        <w:spacing w:before="156" w:beforeLines="50" w:after="156" w:afterLines="50" w:line="360" w:lineRule="auto"/>
        <w:ind w:hanging="988"/>
        <w:rPr>
          <w:rFonts w:ascii="宋体" w:hAnsi="宋体" w:cs="宋体"/>
          <w:b/>
          <w:sz w:val="24"/>
          <w:szCs w:val="24"/>
        </w:rPr>
      </w:pPr>
      <w:r>
        <w:rPr>
          <w:rFonts w:hint="eastAsia" w:ascii="宋体" w:hAnsi="宋体" w:cs="宋体"/>
          <w:b/>
          <w:sz w:val="24"/>
          <w:szCs w:val="24"/>
        </w:rPr>
        <w:t>验收要求</w:t>
      </w:r>
    </w:p>
    <w:p>
      <w:pPr>
        <w:pStyle w:val="6"/>
        <w:ind w:firstLine="480"/>
        <w:rPr>
          <w:rFonts w:ascii="宋体" w:hAnsi="宋体"/>
          <w:sz w:val="24"/>
          <w:szCs w:val="24"/>
        </w:rPr>
      </w:pPr>
      <w:r>
        <w:rPr>
          <w:rFonts w:hint="eastAsia" w:ascii="宋体" w:hAnsi="宋体"/>
          <w:sz w:val="24"/>
          <w:szCs w:val="24"/>
        </w:rPr>
        <w:t>按国家有关标准和项目要求。</w:t>
      </w:r>
      <w:r>
        <w:rPr>
          <w:sz w:val="24"/>
          <w:szCs w:val="24"/>
        </w:rPr>
        <w:t>验收前</w:t>
      </w:r>
      <w:r>
        <w:rPr>
          <w:rFonts w:hint="eastAsia"/>
          <w:sz w:val="24"/>
          <w:szCs w:val="24"/>
        </w:rPr>
        <w:t>成交供应商</w:t>
      </w:r>
      <w:r>
        <w:rPr>
          <w:sz w:val="24"/>
          <w:szCs w:val="24"/>
        </w:rPr>
        <w:t>须向采购人提交相关验收资料。</w:t>
      </w:r>
    </w:p>
    <w:p>
      <w:pPr>
        <w:numPr>
          <w:ilvl w:val="0"/>
          <w:numId w:val="1"/>
        </w:numPr>
        <w:tabs>
          <w:tab w:val="left" w:pos="709"/>
          <w:tab w:val="left" w:pos="993"/>
        </w:tabs>
        <w:spacing w:before="156" w:beforeLines="50" w:after="156" w:afterLines="50" w:line="360" w:lineRule="auto"/>
        <w:ind w:hanging="988"/>
        <w:rPr>
          <w:rFonts w:ascii="宋体" w:hAnsi="宋体" w:cs="宋体"/>
          <w:b/>
          <w:sz w:val="24"/>
          <w:szCs w:val="24"/>
        </w:rPr>
      </w:pPr>
      <w:r>
        <w:rPr>
          <w:rFonts w:hint="eastAsia" w:ascii="宋体" w:hAnsi="宋体" w:cs="宋体"/>
          <w:b/>
          <w:sz w:val="24"/>
          <w:szCs w:val="24"/>
        </w:rPr>
        <w:t>服务期限及</w:t>
      </w:r>
      <w:r>
        <w:rPr>
          <w:rFonts w:ascii="宋体" w:hAnsi="宋体" w:cs="宋体"/>
          <w:b/>
          <w:sz w:val="24"/>
          <w:szCs w:val="24"/>
        </w:rPr>
        <w:t>服务地点</w:t>
      </w:r>
    </w:p>
    <w:p>
      <w:pPr>
        <w:pStyle w:val="6"/>
        <w:ind w:firstLine="480"/>
        <w:rPr>
          <w:rFonts w:ascii="宋体" w:hAnsi="宋体"/>
          <w:sz w:val="24"/>
          <w:szCs w:val="24"/>
        </w:rPr>
      </w:pPr>
      <w:r>
        <w:rPr>
          <w:rFonts w:hint="eastAsia" w:ascii="宋体" w:hAnsi="宋体"/>
          <w:sz w:val="24"/>
          <w:szCs w:val="24"/>
        </w:rPr>
        <w:t>1、服务期限</w:t>
      </w:r>
      <w:r>
        <w:rPr>
          <w:rFonts w:ascii="宋体" w:hAnsi="宋体"/>
          <w:sz w:val="24"/>
          <w:szCs w:val="24"/>
        </w:rPr>
        <w:t>：本项目服务期为</w:t>
      </w:r>
      <w:r>
        <w:rPr>
          <w:rFonts w:hint="eastAsia" w:ascii="宋体" w:hAnsi="宋体"/>
          <w:sz w:val="24"/>
          <w:szCs w:val="24"/>
        </w:rPr>
        <w:t>一</w:t>
      </w:r>
      <w:r>
        <w:rPr>
          <w:rFonts w:ascii="宋体" w:hAnsi="宋体"/>
          <w:sz w:val="24"/>
          <w:szCs w:val="24"/>
        </w:rPr>
        <w:t>年（合同签订</w:t>
      </w:r>
      <w:r>
        <w:rPr>
          <w:rFonts w:hint="eastAsia" w:ascii="宋体" w:hAnsi="宋体"/>
          <w:sz w:val="24"/>
          <w:szCs w:val="24"/>
        </w:rPr>
        <w:t>之日起</w:t>
      </w:r>
      <w:r>
        <w:rPr>
          <w:rFonts w:ascii="宋体" w:hAnsi="宋体"/>
          <w:sz w:val="24"/>
          <w:szCs w:val="24"/>
        </w:rPr>
        <w:t>计算）</w:t>
      </w:r>
      <w:r>
        <w:rPr>
          <w:rFonts w:hint="eastAsia" w:ascii="宋体" w:hAnsi="宋体"/>
          <w:sz w:val="24"/>
          <w:szCs w:val="24"/>
        </w:rPr>
        <w:t>。</w:t>
      </w:r>
    </w:p>
    <w:p>
      <w:pPr>
        <w:pStyle w:val="6"/>
        <w:ind w:firstLine="480"/>
        <w:rPr>
          <w:rFonts w:ascii="宋体" w:hAnsi="宋体"/>
          <w:sz w:val="24"/>
          <w:szCs w:val="24"/>
        </w:rPr>
      </w:pPr>
      <w:r>
        <w:rPr>
          <w:rFonts w:hint="eastAsia" w:ascii="宋体" w:hAnsi="宋体"/>
          <w:sz w:val="24"/>
          <w:szCs w:val="24"/>
        </w:rPr>
        <w:t>2、服务地点</w:t>
      </w:r>
      <w:r>
        <w:rPr>
          <w:rFonts w:ascii="宋体" w:hAnsi="宋体"/>
          <w:sz w:val="24"/>
          <w:szCs w:val="24"/>
        </w:rPr>
        <w:t>：采购人</w:t>
      </w:r>
      <w:r>
        <w:rPr>
          <w:rFonts w:hint="eastAsia" w:ascii="宋体" w:hAnsi="宋体"/>
          <w:sz w:val="24"/>
          <w:szCs w:val="24"/>
        </w:rPr>
        <w:t>指定地点。</w:t>
      </w:r>
    </w:p>
    <w:p>
      <w:pPr>
        <w:pStyle w:val="6"/>
        <w:ind w:firstLine="480"/>
        <w:rPr>
          <w:rFonts w:ascii="宋体" w:hAnsi="宋体"/>
          <w:sz w:val="24"/>
          <w:szCs w:val="24"/>
        </w:rPr>
      </w:pPr>
    </w:p>
    <w:p>
      <w:pPr>
        <w:numPr>
          <w:ilvl w:val="0"/>
          <w:numId w:val="1"/>
        </w:numPr>
        <w:tabs>
          <w:tab w:val="left" w:pos="709"/>
          <w:tab w:val="left" w:pos="993"/>
        </w:tabs>
        <w:spacing w:before="156" w:beforeLines="50" w:after="156" w:afterLines="50" w:line="360" w:lineRule="auto"/>
        <w:ind w:hanging="988"/>
        <w:rPr>
          <w:rFonts w:ascii="宋体" w:hAnsi="宋体" w:cs="宋体"/>
          <w:b/>
          <w:sz w:val="24"/>
          <w:szCs w:val="24"/>
        </w:rPr>
      </w:pPr>
      <w:r>
        <w:rPr>
          <w:rFonts w:hint="eastAsia" w:ascii="宋体" w:hAnsi="宋体" w:cs="宋体"/>
          <w:b/>
          <w:sz w:val="24"/>
          <w:szCs w:val="24"/>
        </w:rPr>
        <w:t>付款方式</w:t>
      </w:r>
    </w:p>
    <w:p>
      <w:pPr>
        <w:spacing w:line="360" w:lineRule="auto"/>
        <w:ind w:firstLine="480" w:firstLineChars="200"/>
        <w:rPr>
          <w:rFonts w:ascii="宋体" w:hAnsi="宋体"/>
          <w:sz w:val="24"/>
          <w:szCs w:val="24"/>
        </w:rPr>
        <w:sectPr>
          <w:pgSz w:w="11906" w:h="16838"/>
          <w:pgMar w:top="1440" w:right="1800" w:bottom="1440" w:left="1800" w:header="851" w:footer="992" w:gutter="0"/>
          <w:cols w:space="425" w:num="1"/>
          <w:docGrid w:type="lines" w:linePitch="312" w:charSpace="0"/>
        </w:sectPr>
      </w:pPr>
      <w:r>
        <w:rPr>
          <w:rFonts w:hint="eastAsia" w:ascii="宋体" w:hAnsi="宋体"/>
          <w:sz w:val="24"/>
          <w:szCs w:val="24"/>
        </w:rPr>
        <w:t>按月结算，采购人在收到</w:t>
      </w:r>
      <w:r>
        <w:rPr>
          <w:rFonts w:ascii="宋体" w:hAnsi="宋体"/>
          <w:sz w:val="24"/>
          <w:szCs w:val="24"/>
        </w:rPr>
        <w:t>成交供应商</w:t>
      </w:r>
      <w:r>
        <w:rPr>
          <w:rFonts w:hint="eastAsia" w:ascii="宋体" w:hAnsi="宋体"/>
          <w:sz w:val="24"/>
          <w:szCs w:val="24"/>
        </w:rPr>
        <w:t>提供的合格有效发票后根据服务质量</w:t>
      </w:r>
      <w:r>
        <w:rPr>
          <w:rFonts w:ascii="宋体" w:hAnsi="宋体"/>
          <w:sz w:val="24"/>
          <w:szCs w:val="24"/>
        </w:rPr>
        <w:t>考评情况于</w:t>
      </w:r>
      <w:r>
        <w:rPr>
          <w:rFonts w:hint="eastAsia" w:ascii="宋体" w:hAnsi="宋体"/>
          <w:sz w:val="24"/>
          <w:szCs w:val="24"/>
        </w:rPr>
        <w:t>5个工作日内办理支付。月度服务费=成交金额/</w:t>
      </w:r>
      <w:r>
        <w:rPr>
          <w:rFonts w:ascii="宋体" w:hAnsi="宋体"/>
          <w:sz w:val="24"/>
          <w:szCs w:val="24"/>
        </w:rPr>
        <w:t>12</w:t>
      </w:r>
      <w:r>
        <w:rPr>
          <w:rFonts w:hint="eastAsia" w:ascii="宋体" w:hAnsi="宋体"/>
          <w:sz w:val="24"/>
          <w:szCs w:val="24"/>
        </w:rPr>
        <w:t>。</w:t>
      </w:r>
    </w:p>
    <w:p>
      <w:pPr>
        <w:spacing w:line="360" w:lineRule="auto"/>
        <w:rPr>
          <w:rFonts w:ascii="宋体" w:hAnsi="宋体"/>
          <w:b/>
          <w:bCs/>
          <w:sz w:val="24"/>
          <w:szCs w:val="24"/>
        </w:rPr>
      </w:pPr>
      <w:r>
        <w:rPr>
          <w:rFonts w:hint="eastAsia" w:ascii="宋体" w:hAnsi="宋体" w:cs="宋体"/>
          <w:sz w:val="24"/>
          <w:szCs w:val="24"/>
        </w:rPr>
        <w:t>附件：番禺中心医院医疗集团病媒生物防制服务质量评价表（供参考</w:t>
      </w:r>
      <w:r>
        <w:rPr>
          <w:rFonts w:ascii="宋体" w:hAnsi="宋体" w:cs="宋体"/>
          <w:sz w:val="24"/>
          <w:szCs w:val="24"/>
        </w:rPr>
        <w:t>，采购人有权按需调整</w:t>
      </w:r>
      <w:r>
        <w:rPr>
          <w:rFonts w:hint="eastAsia" w:ascii="宋体" w:hAnsi="宋体" w:cs="宋体"/>
          <w:sz w:val="24"/>
          <w:szCs w:val="24"/>
        </w:rPr>
        <w:t>）</w:t>
      </w:r>
    </w:p>
    <w:tbl>
      <w:tblPr>
        <w:tblStyle w:val="8"/>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026"/>
        <w:gridCol w:w="3901"/>
        <w:gridCol w:w="4819"/>
        <w:gridCol w:w="1137"/>
        <w:gridCol w:w="1182"/>
        <w:gridCol w:w="1080"/>
        <w:gridCol w:w="102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5000" w:type="pct"/>
            <w:gridSpan w:val="7"/>
            <w:vAlign w:val="center"/>
          </w:tcPr>
          <w:p>
            <w:pPr>
              <w:jc w:val="center"/>
              <w:rPr>
                <w:rFonts w:ascii="宋体" w:hAnsi="宋体"/>
                <w:b/>
                <w:kern w:val="2"/>
                <w:szCs w:val="21"/>
              </w:rPr>
            </w:pPr>
            <w:r>
              <w:rPr>
                <w:rFonts w:hint="eastAsia" w:ascii="宋体" w:hAnsi="宋体"/>
                <w:b/>
                <w:kern w:val="2"/>
                <w:szCs w:val="21"/>
              </w:rPr>
              <w:t>番禺中心医院医疗集团病媒生物防制服务质量评价表</w:t>
            </w:r>
          </w:p>
          <w:p>
            <w:pPr>
              <w:ind w:right="74"/>
              <w:rPr>
                <w:rFonts w:ascii="宋体" w:hAnsi="宋体"/>
                <w:kern w:val="2"/>
                <w:szCs w:val="21"/>
              </w:rPr>
            </w:pPr>
            <w:r>
              <w:rPr>
                <w:rFonts w:hint="eastAsia" w:ascii="宋体" w:hAnsi="宋体"/>
                <w:kern w:val="2"/>
                <w:szCs w:val="21"/>
              </w:rPr>
              <w:t xml:space="preserve">院区： </w:t>
            </w:r>
            <w:r>
              <w:rPr>
                <w:rFonts w:ascii="宋体" w:hAnsi="宋体"/>
                <w:kern w:val="2"/>
                <w:szCs w:val="21"/>
              </w:rPr>
              <w:t xml:space="preserve">                                                                                       </w:t>
            </w:r>
            <w:r>
              <w:rPr>
                <w:rFonts w:hint="eastAsia" w:ascii="宋体" w:hAnsi="宋体"/>
                <w:kern w:val="2"/>
                <w:szCs w:val="21"/>
              </w:rPr>
              <w:t xml:space="preserve">考评时间：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4" w:hRule="atLeast"/>
          <w:jc w:val="center"/>
        </w:trPr>
        <w:tc>
          <w:tcPr>
            <w:tcW w:w="362" w:type="pct"/>
            <w:vAlign w:val="center"/>
          </w:tcPr>
          <w:p>
            <w:pPr>
              <w:jc w:val="center"/>
              <w:rPr>
                <w:rFonts w:ascii="宋体" w:hAnsi="宋体"/>
                <w:b/>
                <w:kern w:val="2"/>
                <w:szCs w:val="21"/>
              </w:rPr>
            </w:pPr>
            <w:r>
              <w:rPr>
                <w:rFonts w:hint="eastAsia" w:ascii="宋体" w:hAnsi="宋体"/>
                <w:b/>
                <w:kern w:val="2"/>
                <w:szCs w:val="21"/>
              </w:rPr>
              <w:t>编号</w:t>
            </w:r>
          </w:p>
        </w:tc>
        <w:tc>
          <w:tcPr>
            <w:tcW w:w="1376" w:type="pct"/>
            <w:vAlign w:val="center"/>
          </w:tcPr>
          <w:p>
            <w:pPr>
              <w:jc w:val="center"/>
              <w:rPr>
                <w:rFonts w:ascii="宋体" w:hAnsi="宋体"/>
                <w:b/>
                <w:kern w:val="2"/>
                <w:szCs w:val="21"/>
              </w:rPr>
            </w:pPr>
            <w:r>
              <w:rPr>
                <w:rFonts w:hint="eastAsia" w:ascii="宋体" w:hAnsi="宋体"/>
                <w:b/>
                <w:kern w:val="2"/>
                <w:szCs w:val="21"/>
              </w:rPr>
              <w:t>考评内容</w:t>
            </w:r>
          </w:p>
        </w:tc>
        <w:tc>
          <w:tcPr>
            <w:tcW w:w="1700" w:type="pct"/>
            <w:vAlign w:val="center"/>
          </w:tcPr>
          <w:p>
            <w:pPr>
              <w:jc w:val="center"/>
              <w:rPr>
                <w:rFonts w:ascii="宋体" w:hAnsi="宋体"/>
                <w:b/>
                <w:kern w:val="2"/>
                <w:szCs w:val="21"/>
              </w:rPr>
            </w:pPr>
            <w:r>
              <w:rPr>
                <w:rFonts w:hint="eastAsia" w:ascii="宋体" w:hAnsi="宋体"/>
                <w:b/>
                <w:kern w:val="2"/>
                <w:szCs w:val="21"/>
              </w:rPr>
              <w:t>扣罚细则</w:t>
            </w:r>
          </w:p>
        </w:tc>
        <w:tc>
          <w:tcPr>
            <w:tcW w:w="401" w:type="pct"/>
            <w:vAlign w:val="center"/>
          </w:tcPr>
          <w:p>
            <w:pPr>
              <w:jc w:val="center"/>
              <w:rPr>
                <w:rFonts w:ascii="宋体" w:hAnsi="宋体"/>
                <w:b/>
                <w:kern w:val="2"/>
                <w:szCs w:val="21"/>
              </w:rPr>
            </w:pPr>
            <w:r>
              <w:rPr>
                <w:rFonts w:hint="eastAsia" w:ascii="宋体" w:hAnsi="宋体"/>
                <w:b/>
                <w:kern w:val="2"/>
                <w:szCs w:val="21"/>
              </w:rPr>
              <w:t>分值</w:t>
            </w:r>
          </w:p>
        </w:tc>
        <w:tc>
          <w:tcPr>
            <w:tcW w:w="417" w:type="pct"/>
            <w:vAlign w:val="center"/>
          </w:tcPr>
          <w:p>
            <w:pPr>
              <w:jc w:val="center"/>
              <w:rPr>
                <w:rFonts w:ascii="宋体" w:hAnsi="宋体"/>
                <w:b/>
                <w:kern w:val="2"/>
                <w:szCs w:val="21"/>
              </w:rPr>
            </w:pPr>
            <w:r>
              <w:rPr>
                <w:rFonts w:hint="eastAsia" w:ascii="宋体" w:hAnsi="宋体"/>
                <w:b/>
                <w:kern w:val="2"/>
                <w:szCs w:val="21"/>
              </w:rPr>
              <w:t>发现问题</w:t>
            </w:r>
          </w:p>
        </w:tc>
        <w:tc>
          <w:tcPr>
            <w:tcW w:w="381" w:type="pct"/>
            <w:vAlign w:val="center"/>
          </w:tcPr>
          <w:p>
            <w:pPr>
              <w:jc w:val="center"/>
              <w:rPr>
                <w:rFonts w:ascii="宋体" w:hAnsi="宋体"/>
                <w:b/>
                <w:kern w:val="2"/>
                <w:szCs w:val="21"/>
              </w:rPr>
            </w:pPr>
            <w:r>
              <w:rPr>
                <w:rFonts w:hint="eastAsia" w:ascii="宋体" w:hAnsi="宋体"/>
                <w:b/>
                <w:kern w:val="2"/>
                <w:szCs w:val="21"/>
              </w:rPr>
              <w:t>得分</w:t>
            </w:r>
          </w:p>
        </w:tc>
        <w:tc>
          <w:tcPr>
            <w:tcW w:w="363" w:type="pct"/>
            <w:vAlign w:val="center"/>
          </w:tcPr>
          <w:p>
            <w:pPr>
              <w:jc w:val="center"/>
              <w:rPr>
                <w:rFonts w:ascii="宋体" w:hAnsi="宋体"/>
                <w:b/>
                <w:kern w:val="2"/>
                <w:szCs w:val="21"/>
              </w:rPr>
            </w:pPr>
            <w:r>
              <w:rPr>
                <w:rFonts w:hint="eastAsia" w:ascii="宋体" w:hAnsi="宋体"/>
                <w:b/>
                <w:kern w:val="2"/>
                <w:szCs w:val="21"/>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362" w:type="pct"/>
            <w:vAlign w:val="center"/>
          </w:tcPr>
          <w:p>
            <w:pPr>
              <w:jc w:val="center"/>
              <w:rPr>
                <w:rFonts w:ascii="宋体" w:hAnsi="宋体"/>
                <w:kern w:val="2"/>
                <w:szCs w:val="21"/>
              </w:rPr>
            </w:pPr>
            <w:r>
              <w:rPr>
                <w:rFonts w:hint="eastAsia" w:ascii="宋体" w:hAnsi="宋体"/>
                <w:kern w:val="2"/>
                <w:szCs w:val="21"/>
              </w:rPr>
              <w:t>1</w:t>
            </w:r>
          </w:p>
        </w:tc>
        <w:tc>
          <w:tcPr>
            <w:tcW w:w="1376" w:type="pct"/>
            <w:vAlign w:val="center"/>
          </w:tcPr>
          <w:p>
            <w:pPr>
              <w:jc w:val="center"/>
              <w:rPr>
                <w:rFonts w:ascii="宋体" w:hAnsi="宋体"/>
                <w:kern w:val="2"/>
                <w:szCs w:val="21"/>
              </w:rPr>
            </w:pPr>
            <w:r>
              <w:rPr>
                <w:rFonts w:hint="eastAsia" w:ascii="宋体" w:hAnsi="宋体"/>
                <w:kern w:val="2"/>
                <w:szCs w:val="21"/>
              </w:rPr>
              <w:t>消杀药械符合行业管理要求</w:t>
            </w:r>
          </w:p>
        </w:tc>
        <w:tc>
          <w:tcPr>
            <w:tcW w:w="1700" w:type="pct"/>
            <w:vAlign w:val="center"/>
          </w:tcPr>
          <w:p>
            <w:pPr>
              <w:jc w:val="center"/>
              <w:rPr>
                <w:rFonts w:ascii="宋体" w:hAnsi="宋体"/>
                <w:kern w:val="2"/>
                <w:szCs w:val="21"/>
              </w:rPr>
            </w:pPr>
            <w:r>
              <w:rPr>
                <w:rFonts w:hint="eastAsia" w:ascii="宋体" w:hAnsi="宋体"/>
                <w:kern w:val="2"/>
                <w:szCs w:val="21"/>
              </w:rPr>
              <w:t>若发现一次不符合要求则扣罚30%月服务费和扣10分。</w:t>
            </w:r>
          </w:p>
        </w:tc>
        <w:tc>
          <w:tcPr>
            <w:tcW w:w="401" w:type="pct"/>
            <w:vAlign w:val="center"/>
          </w:tcPr>
          <w:p>
            <w:pPr>
              <w:jc w:val="center"/>
              <w:rPr>
                <w:rFonts w:ascii="宋体" w:hAnsi="宋体"/>
                <w:kern w:val="2"/>
                <w:szCs w:val="21"/>
              </w:rPr>
            </w:pPr>
            <w:r>
              <w:rPr>
                <w:rFonts w:hint="eastAsia" w:ascii="宋体" w:hAnsi="宋体"/>
                <w:kern w:val="2"/>
                <w:szCs w:val="21"/>
              </w:rPr>
              <w:t>10</w:t>
            </w:r>
          </w:p>
        </w:tc>
        <w:tc>
          <w:tcPr>
            <w:tcW w:w="417" w:type="pct"/>
            <w:vAlign w:val="center"/>
          </w:tcPr>
          <w:p>
            <w:pPr>
              <w:jc w:val="center"/>
              <w:rPr>
                <w:rFonts w:ascii="宋体" w:hAnsi="宋体"/>
                <w:kern w:val="2"/>
                <w:szCs w:val="21"/>
              </w:rPr>
            </w:pPr>
          </w:p>
        </w:tc>
        <w:tc>
          <w:tcPr>
            <w:tcW w:w="381" w:type="pct"/>
            <w:vAlign w:val="center"/>
          </w:tcPr>
          <w:p>
            <w:pPr>
              <w:jc w:val="center"/>
              <w:rPr>
                <w:rFonts w:ascii="宋体" w:hAnsi="宋体"/>
                <w:kern w:val="2"/>
                <w:szCs w:val="21"/>
              </w:rPr>
            </w:pPr>
          </w:p>
        </w:tc>
        <w:tc>
          <w:tcPr>
            <w:tcW w:w="363" w:type="pct"/>
            <w:vAlign w:val="center"/>
          </w:tcPr>
          <w:p>
            <w:pPr>
              <w:jc w:val="center"/>
              <w:rPr>
                <w:rFonts w:ascii="宋体" w:hAnsi="宋体"/>
                <w:kern w:val="2"/>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362" w:type="pct"/>
            <w:vAlign w:val="center"/>
          </w:tcPr>
          <w:p>
            <w:pPr>
              <w:jc w:val="center"/>
              <w:rPr>
                <w:rFonts w:ascii="宋体" w:hAnsi="宋体"/>
                <w:kern w:val="2"/>
                <w:szCs w:val="21"/>
              </w:rPr>
            </w:pPr>
            <w:r>
              <w:rPr>
                <w:rFonts w:hint="eastAsia" w:ascii="宋体" w:hAnsi="宋体"/>
                <w:kern w:val="2"/>
                <w:szCs w:val="21"/>
              </w:rPr>
              <w:t>2</w:t>
            </w:r>
          </w:p>
        </w:tc>
        <w:tc>
          <w:tcPr>
            <w:tcW w:w="1376" w:type="pct"/>
            <w:vAlign w:val="center"/>
          </w:tcPr>
          <w:p>
            <w:pPr>
              <w:jc w:val="center"/>
              <w:rPr>
                <w:rFonts w:ascii="宋体" w:hAnsi="宋体"/>
                <w:kern w:val="2"/>
                <w:szCs w:val="21"/>
              </w:rPr>
            </w:pPr>
            <w:r>
              <w:rPr>
                <w:rFonts w:hint="eastAsia" w:ascii="宋体" w:hAnsi="宋体"/>
                <w:kern w:val="2"/>
                <w:szCs w:val="21"/>
              </w:rPr>
              <w:t>操作人员相对固定、持证上岗、穿工作服、佩带胸卡、良好的服务态度</w:t>
            </w:r>
          </w:p>
        </w:tc>
        <w:tc>
          <w:tcPr>
            <w:tcW w:w="1700" w:type="pct"/>
            <w:vAlign w:val="center"/>
          </w:tcPr>
          <w:p>
            <w:pPr>
              <w:jc w:val="center"/>
              <w:rPr>
                <w:rFonts w:ascii="宋体" w:hAnsi="宋体"/>
                <w:kern w:val="2"/>
                <w:szCs w:val="21"/>
              </w:rPr>
            </w:pPr>
            <w:r>
              <w:rPr>
                <w:rFonts w:hint="eastAsia" w:ascii="宋体" w:hAnsi="宋体"/>
                <w:kern w:val="2"/>
                <w:szCs w:val="21"/>
              </w:rPr>
              <w:t>不符合要求扣1分/人/次/项。不按要求配置技术人员或驻院技术人员未经同意调换扣5分/次。</w:t>
            </w:r>
          </w:p>
        </w:tc>
        <w:tc>
          <w:tcPr>
            <w:tcW w:w="401" w:type="pct"/>
            <w:vAlign w:val="center"/>
          </w:tcPr>
          <w:p>
            <w:pPr>
              <w:jc w:val="center"/>
              <w:rPr>
                <w:rFonts w:ascii="宋体" w:hAnsi="宋体"/>
                <w:kern w:val="2"/>
                <w:szCs w:val="21"/>
              </w:rPr>
            </w:pPr>
            <w:r>
              <w:rPr>
                <w:rFonts w:hint="eastAsia" w:ascii="宋体" w:hAnsi="宋体"/>
                <w:kern w:val="2"/>
                <w:szCs w:val="21"/>
              </w:rPr>
              <w:t>10</w:t>
            </w:r>
          </w:p>
        </w:tc>
        <w:tc>
          <w:tcPr>
            <w:tcW w:w="417" w:type="pct"/>
            <w:vAlign w:val="center"/>
          </w:tcPr>
          <w:p>
            <w:pPr>
              <w:jc w:val="center"/>
              <w:rPr>
                <w:rFonts w:ascii="宋体" w:hAnsi="宋体"/>
                <w:kern w:val="2"/>
                <w:szCs w:val="21"/>
              </w:rPr>
            </w:pPr>
          </w:p>
        </w:tc>
        <w:tc>
          <w:tcPr>
            <w:tcW w:w="381" w:type="pct"/>
            <w:vAlign w:val="center"/>
          </w:tcPr>
          <w:p>
            <w:pPr>
              <w:jc w:val="center"/>
              <w:rPr>
                <w:rFonts w:ascii="宋体" w:hAnsi="宋体"/>
                <w:kern w:val="2"/>
                <w:szCs w:val="21"/>
              </w:rPr>
            </w:pPr>
          </w:p>
        </w:tc>
        <w:tc>
          <w:tcPr>
            <w:tcW w:w="363" w:type="pct"/>
            <w:vAlign w:val="center"/>
          </w:tcPr>
          <w:p>
            <w:pPr>
              <w:jc w:val="center"/>
              <w:rPr>
                <w:rFonts w:ascii="宋体" w:hAnsi="宋体"/>
                <w:kern w:val="2"/>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38" w:hRule="atLeast"/>
          <w:jc w:val="center"/>
        </w:trPr>
        <w:tc>
          <w:tcPr>
            <w:tcW w:w="362" w:type="pct"/>
            <w:vAlign w:val="center"/>
          </w:tcPr>
          <w:p>
            <w:pPr>
              <w:jc w:val="center"/>
              <w:rPr>
                <w:rFonts w:ascii="宋体" w:hAnsi="宋体"/>
                <w:kern w:val="2"/>
                <w:szCs w:val="21"/>
              </w:rPr>
            </w:pPr>
            <w:r>
              <w:rPr>
                <w:rFonts w:hint="eastAsia" w:ascii="宋体" w:hAnsi="宋体"/>
                <w:kern w:val="2"/>
                <w:szCs w:val="21"/>
              </w:rPr>
              <w:t>3</w:t>
            </w:r>
          </w:p>
        </w:tc>
        <w:tc>
          <w:tcPr>
            <w:tcW w:w="1376" w:type="pct"/>
            <w:vAlign w:val="center"/>
          </w:tcPr>
          <w:p>
            <w:pPr>
              <w:jc w:val="center"/>
              <w:rPr>
                <w:rFonts w:ascii="宋体" w:hAnsi="宋体"/>
                <w:kern w:val="2"/>
                <w:szCs w:val="21"/>
              </w:rPr>
            </w:pPr>
            <w:r>
              <w:rPr>
                <w:rFonts w:hint="eastAsia" w:ascii="宋体" w:hAnsi="宋体"/>
                <w:kern w:val="2"/>
                <w:szCs w:val="21"/>
              </w:rPr>
              <w:t>消杀前按要求张贴告示或通知相关科室负责人并征得同意，按约定时间消杀</w:t>
            </w:r>
          </w:p>
        </w:tc>
        <w:tc>
          <w:tcPr>
            <w:tcW w:w="1700" w:type="pct"/>
            <w:vAlign w:val="center"/>
          </w:tcPr>
          <w:p>
            <w:pPr>
              <w:jc w:val="center"/>
              <w:rPr>
                <w:rFonts w:ascii="宋体" w:hAnsi="宋体"/>
                <w:kern w:val="2"/>
                <w:szCs w:val="21"/>
              </w:rPr>
            </w:pPr>
            <w:r>
              <w:rPr>
                <w:rFonts w:hint="eastAsia" w:ascii="宋体" w:hAnsi="宋体"/>
                <w:kern w:val="2"/>
                <w:szCs w:val="21"/>
              </w:rPr>
              <w:t>不按要求或科室投诉属实，每次扣2分。</w:t>
            </w:r>
          </w:p>
        </w:tc>
        <w:tc>
          <w:tcPr>
            <w:tcW w:w="401" w:type="pct"/>
            <w:vAlign w:val="center"/>
          </w:tcPr>
          <w:p>
            <w:pPr>
              <w:jc w:val="center"/>
              <w:rPr>
                <w:rFonts w:ascii="宋体" w:hAnsi="宋体"/>
                <w:kern w:val="2"/>
                <w:szCs w:val="21"/>
              </w:rPr>
            </w:pPr>
            <w:r>
              <w:rPr>
                <w:rFonts w:hint="eastAsia" w:ascii="宋体" w:hAnsi="宋体"/>
                <w:kern w:val="2"/>
                <w:szCs w:val="21"/>
              </w:rPr>
              <w:t>10</w:t>
            </w:r>
          </w:p>
        </w:tc>
        <w:tc>
          <w:tcPr>
            <w:tcW w:w="417" w:type="pct"/>
            <w:vAlign w:val="center"/>
          </w:tcPr>
          <w:p>
            <w:pPr>
              <w:rPr>
                <w:rFonts w:ascii="宋体" w:hAnsi="宋体"/>
                <w:kern w:val="2"/>
                <w:szCs w:val="21"/>
              </w:rPr>
            </w:pPr>
          </w:p>
        </w:tc>
        <w:tc>
          <w:tcPr>
            <w:tcW w:w="381" w:type="pct"/>
            <w:vAlign w:val="center"/>
          </w:tcPr>
          <w:p>
            <w:pPr>
              <w:jc w:val="center"/>
              <w:rPr>
                <w:rFonts w:ascii="宋体" w:hAnsi="宋体"/>
                <w:kern w:val="2"/>
                <w:szCs w:val="21"/>
              </w:rPr>
            </w:pPr>
          </w:p>
        </w:tc>
        <w:tc>
          <w:tcPr>
            <w:tcW w:w="363" w:type="pct"/>
            <w:vAlign w:val="center"/>
          </w:tcPr>
          <w:p>
            <w:pPr>
              <w:jc w:val="center"/>
              <w:rPr>
                <w:rFonts w:ascii="宋体" w:hAnsi="宋体"/>
                <w:kern w:val="2"/>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77" w:hRule="atLeast"/>
          <w:jc w:val="center"/>
        </w:trPr>
        <w:tc>
          <w:tcPr>
            <w:tcW w:w="362" w:type="pct"/>
            <w:vAlign w:val="center"/>
          </w:tcPr>
          <w:p>
            <w:pPr>
              <w:jc w:val="center"/>
              <w:rPr>
                <w:rFonts w:ascii="宋体" w:hAnsi="宋体"/>
                <w:kern w:val="2"/>
                <w:szCs w:val="21"/>
              </w:rPr>
            </w:pPr>
            <w:r>
              <w:rPr>
                <w:rFonts w:hint="eastAsia" w:ascii="宋体" w:hAnsi="宋体"/>
                <w:kern w:val="2"/>
                <w:szCs w:val="21"/>
              </w:rPr>
              <w:t>4</w:t>
            </w:r>
          </w:p>
        </w:tc>
        <w:tc>
          <w:tcPr>
            <w:tcW w:w="1376" w:type="pct"/>
            <w:vAlign w:val="center"/>
          </w:tcPr>
          <w:p>
            <w:pPr>
              <w:jc w:val="center"/>
              <w:rPr>
                <w:rFonts w:ascii="宋体" w:hAnsi="宋体"/>
                <w:kern w:val="2"/>
                <w:szCs w:val="21"/>
              </w:rPr>
            </w:pPr>
            <w:r>
              <w:rPr>
                <w:rFonts w:hint="eastAsia" w:ascii="宋体" w:hAnsi="宋体"/>
                <w:kern w:val="2"/>
                <w:szCs w:val="21"/>
              </w:rPr>
              <w:t>消杀服务频次及资料记录管理</w:t>
            </w:r>
          </w:p>
        </w:tc>
        <w:tc>
          <w:tcPr>
            <w:tcW w:w="1700" w:type="pct"/>
            <w:vAlign w:val="center"/>
          </w:tcPr>
          <w:p>
            <w:pPr>
              <w:jc w:val="center"/>
              <w:rPr>
                <w:rFonts w:ascii="宋体" w:hAnsi="宋体"/>
                <w:kern w:val="2"/>
                <w:szCs w:val="21"/>
              </w:rPr>
            </w:pPr>
            <w:r>
              <w:rPr>
                <w:rFonts w:hint="eastAsia" w:ascii="宋体" w:hAnsi="宋体"/>
                <w:kern w:val="2"/>
                <w:szCs w:val="21"/>
              </w:rPr>
              <w:t>缺少一次全院投药、消杀病媒生物扣10分，并要求每周全院各科室、各部门室内消杀不少于一次，不符合要求扣3分/次/科；未按</w:t>
            </w:r>
            <w:r>
              <w:rPr>
                <w:rFonts w:ascii="宋体" w:hAnsi="宋体"/>
                <w:kern w:val="2"/>
                <w:szCs w:val="21"/>
              </w:rPr>
              <w:t>上级部门下发的关于“四害”防制文件精神开展统一紧急消杀防控工作</w:t>
            </w:r>
            <w:r>
              <w:rPr>
                <w:rFonts w:hint="eastAsia" w:ascii="宋体" w:hAnsi="宋体"/>
                <w:kern w:val="2"/>
                <w:szCs w:val="21"/>
              </w:rPr>
              <w:t>，扣10分；每次消杀须有记录，记录不完整扣1分/处。</w:t>
            </w:r>
          </w:p>
        </w:tc>
        <w:tc>
          <w:tcPr>
            <w:tcW w:w="401" w:type="pct"/>
            <w:vAlign w:val="center"/>
          </w:tcPr>
          <w:p>
            <w:pPr>
              <w:jc w:val="center"/>
              <w:rPr>
                <w:rFonts w:ascii="宋体" w:hAnsi="宋体"/>
                <w:kern w:val="2"/>
                <w:szCs w:val="21"/>
              </w:rPr>
            </w:pPr>
            <w:r>
              <w:rPr>
                <w:rFonts w:hint="eastAsia" w:ascii="宋体" w:hAnsi="宋体"/>
                <w:kern w:val="2"/>
                <w:szCs w:val="21"/>
              </w:rPr>
              <w:t>20</w:t>
            </w:r>
          </w:p>
        </w:tc>
        <w:tc>
          <w:tcPr>
            <w:tcW w:w="417" w:type="pct"/>
            <w:vAlign w:val="center"/>
          </w:tcPr>
          <w:p>
            <w:pPr>
              <w:rPr>
                <w:rFonts w:ascii="宋体" w:hAnsi="宋体"/>
                <w:kern w:val="2"/>
                <w:szCs w:val="21"/>
              </w:rPr>
            </w:pPr>
          </w:p>
        </w:tc>
        <w:tc>
          <w:tcPr>
            <w:tcW w:w="381" w:type="pct"/>
            <w:vAlign w:val="center"/>
          </w:tcPr>
          <w:p>
            <w:pPr>
              <w:jc w:val="center"/>
              <w:rPr>
                <w:rFonts w:ascii="宋体" w:hAnsi="宋体"/>
                <w:kern w:val="2"/>
                <w:szCs w:val="21"/>
              </w:rPr>
            </w:pPr>
          </w:p>
        </w:tc>
        <w:tc>
          <w:tcPr>
            <w:tcW w:w="363" w:type="pct"/>
            <w:vAlign w:val="center"/>
          </w:tcPr>
          <w:p>
            <w:pPr>
              <w:jc w:val="center"/>
              <w:rPr>
                <w:rFonts w:ascii="宋体" w:hAnsi="宋体"/>
                <w:kern w:val="2"/>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52" w:hRule="atLeast"/>
          <w:jc w:val="center"/>
        </w:trPr>
        <w:tc>
          <w:tcPr>
            <w:tcW w:w="362" w:type="pct"/>
            <w:vAlign w:val="center"/>
          </w:tcPr>
          <w:p>
            <w:pPr>
              <w:jc w:val="center"/>
              <w:rPr>
                <w:rFonts w:ascii="宋体" w:hAnsi="宋体"/>
                <w:kern w:val="2"/>
                <w:szCs w:val="21"/>
              </w:rPr>
            </w:pPr>
            <w:r>
              <w:rPr>
                <w:rFonts w:hint="eastAsia" w:ascii="宋体" w:hAnsi="宋体"/>
                <w:kern w:val="2"/>
                <w:szCs w:val="21"/>
              </w:rPr>
              <w:t>5</w:t>
            </w:r>
          </w:p>
        </w:tc>
        <w:tc>
          <w:tcPr>
            <w:tcW w:w="1376" w:type="pct"/>
            <w:vAlign w:val="center"/>
          </w:tcPr>
          <w:p>
            <w:pPr>
              <w:jc w:val="center"/>
              <w:rPr>
                <w:rFonts w:ascii="宋体" w:hAnsi="宋体"/>
                <w:kern w:val="2"/>
                <w:szCs w:val="21"/>
              </w:rPr>
            </w:pPr>
            <w:r>
              <w:rPr>
                <w:rFonts w:hint="eastAsia" w:ascii="宋体" w:hAnsi="宋体"/>
                <w:kern w:val="2"/>
                <w:szCs w:val="21"/>
              </w:rPr>
              <w:t>病媒生物消杀效果及服务质量投诉</w:t>
            </w:r>
          </w:p>
        </w:tc>
        <w:tc>
          <w:tcPr>
            <w:tcW w:w="1700" w:type="pct"/>
            <w:vAlign w:val="center"/>
          </w:tcPr>
          <w:p>
            <w:pPr>
              <w:jc w:val="center"/>
              <w:rPr>
                <w:rFonts w:ascii="宋体" w:hAnsi="宋体"/>
                <w:kern w:val="2"/>
                <w:szCs w:val="21"/>
              </w:rPr>
            </w:pPr>
            <w:r>
              <w:rPr>
                <w:rFonts w:hint="eastAsia" w:ascii="宋体" w:hAnsi="宋体"/>
                <w:kern w:val="2"/>
                <w:szCs w:val="21"/>
              </w:rPr>
              <w:t>病媒生物密度超标扣3分/次/科组或区域。老鼠屋布置合理，投放及更换毒饵要及时，并有明显提醒标识，不符合要求，扣2分/处。室内有活鼠或鼠迹，扣2分/科组或区域；发现死鼠未及时处理，扣2分/只。被上级或主管部门通报密度超标的每次扣10分。病媒生物防治服务质量投诉情况属实，扣3-5分/次。</w:t>
            </w:r>
          </w:p>
        </w:tc>
        <w:tc>
          <w:tcPr>
            <w:tcW w:w="401" w:type="pct"/>
            <w:vAlign w:val="center"/>
          </w:tcPr>
          <w:p>
            <w:pPr>
              <w:jc w:val="center"/>
              <w:rPr>
                <w:rFonts w:ascii="宋体" w:hAnsi="宋体"/>
                <w:kern w:val="2"/>
                <w:szCs w:val="21"/>
              </w:rPr>
            </w:pPr>
            <w:r>
              <w:rPr>
                <w:rFonts w:hint="eastAsia" w:ascii="宋体" w:hAnsi="宋体"/>
                <w:kern w:val="2"/>
                <w:szCs w:val="21"/>
              </w:rPr>
              <w:t>30</w:t>
            </w:r>
          </w:p>
        </w:tc>
        <w:tc>
          <w:tcPr>
            <w:tcW w:w="417" w:type="pct"/>
            <w:vAlign w:val="center"/>
          </w:tcPr>
          <w:p>
            <w:pPr>
              <w:rPr>
                <w:rFonts w:ascii="宋体" w:hAnsi="宋体"/>
                <w:kern w:val="2"/>
                <w:szCs w:val="21"/>
              </w:rPr>
            </w:pPr>
          </w:p>
        </w:tc>
        <w:tc>
          <w:tcPr>
            <w:tcW w:w="381" w:type="pct"/>
            <w:vAlign w:val="center"/>
          </w:tcPr>
          <w:p>
            <w:pPr>
              <w:jc w:val="center"/>
              <w:rPr>
                <w:rFonts w:ascii="宋体" w:hAnsi="宋体"/>
                <w:kern w:val="2"/>
                <w:szCs w:val="21"/>
              </w:rPr>
            </w:pPr>
          </w:p>
        </w:tc>
        <w:tc>
          <w:tcPr>
            <w:tcW w:w="363" w:type="pct"/>
            <w:vAlign w:val="center"/>
          </w:tcPr>
          <w:p>
            <w:pPr>
              <w:jc w:val="center"/>
              <w:rPr>
                <w:rFonts w:ascii="宋体" w:hAnsi="宋体"/>
                <w:kern w:val="2"/>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362" w:type="pct"/>
            <w:vAlign w:val="center"/>
          </w:tcPr>
          <w:p>
            <w:pPr>
              <w:jc w:val="center"/>
              <w:rPr>
                <w:rFonts w:ascii="宋体" w:hAnsi="宋体"/>
                <w:kern w:val="2"/>
                <w:szCs w:val="21"/>
              </w:rPr>
            </w:pPr>
            <w:r>
              <w:rPr>
                <w:rFonts w:hint="eastAsia" w:ascii="宋体" w:hAnsi="宋体"/>
                <w:kern w:val="2"/>
                <w:szCs w:val="21"/>
              </w:rPr>
              <w:t>6</w:t>
            </w:r>
          </w:p>
        </w:tc>
        <w:tc>
          <w:tcPr>
            <w:tcW w:w="1376" w:type="pct"/>
            <w:vAlign w:val="center"/>
          </w:tcPr>
          <w:p>
            <w:pPr>
              <w:jc w:val="center"/>
              <w:rPr>
                <w:rFonts w:ascii="宋体" w:hAnsi="宋体"/>
                <w:kern w:val="2"/>
                <w:szCs w:val="21"/>
              </w:rPr>
            </w:pPr>
            <w:r>
              <w:rPr>
                <w:rFonts w:hint="eastAsia" w:ascii="宋体" w:hAnsi="宋体"/>
                <w:kern w:val="2"/>
                <w:szCs w:val="21"/>
              </w:rPr>
              <w:t>消杀工作响应速度</w:t>
            </w:r>
          </w:p>
        </w:tc>
        <w:tc>
          <w:tcPr>
            <w:tcW w:w="1700" w:type="pct"/>
            <w:vAlign w:val="center"/>
          </w:tcPr>
          <w:p>
            <w:pPr>
              <w:jc w:val="center"/>
              <w:rPr>
                <w:rFonts w:ascii="宋体" w:hAnsi="宋体"/>
                <w:kern w:val="2"/>
                <w:szCs w:val="21"/>
              </w:rPr>
            </w:pPr>
            <w:r>
              <w:rPr>
                <w:rFonts w:hint="eastAsia" w:ascii="宋体" w:hAnsi="宋体"/>
                <w:kern w:val="2"/>
                <w:szCs w:val="21"/>
              </w:rPr>
              <w:t>消杀工作应在30分钟内响应，若响应速度超出30分钟，每次扣2分。</w:t>
            </w:r>
          </w:p>
        </w:tc>
        <w:tc>
          <w:tcPr>
            <w:tcW w:w="401" w:type="pct"/>
            <w:vAlign w:val="center"/>
          </w:tcPr>
          <w:p>
            <w:pPr>
              <w:jc w:val="center"/>
              <w:rPr>
                <w:rFonts w:ascii="宋体" w:hAnsi="宋体"/>
                <w:kern w:val="2"/>
                <w:szCs w:val="21"/>
              </w:rPr>
            </w:pPr>
            <w:r>
              <w:rPr>
                <w:rFonts w:hint="eastAsia" w:ascii="宋体" w:hAnsi="宋体"/>
                <w:kern w:val="2"/>
                <w:szCs w:val="21"/>
              </w:rPr>
              <w:t>10</w:t>
            </w:r>
          </w:p>
        </w:tc>
        <w:tc>
          <w:tcPr>
            <w:tcW w:w="417" w:type="pct"/>
            <w:vAlign w:val="center"/>
          </w:tcPr>
          <w:p>
            <w:pPr>
              <w:rPr>
                <w:rFonts w:ascii="宋体" w:hAnsi="宋体"/>
                <w:kern w:val="2"/>
                <w:szCs w:val="21"/>
              </w:rPr>
            </w:pPr>
          </w:p>
        </w:tc>
        <w:tc>
          <w:tcPr>
            <w:tcW w:w="381" w:type="pct"/>
            <w:vAlign w:val="center"/>
          </w:tcPr>
          <w:p>
            <w:pPr>
              <w:jc w:val="center"/>
              <w:rPr>
                <w:rFonts w:ascii="宋体" w:hAnsi="宋体"/>
                <w:kern w:val="2"/>
                <w:szCs w:val="21"/>
              </w:rPr>
            </w:pPr>
          </w:p>
        </w:tc>
        <w:tc>
          <w:tcPr>
            <w:tcW w:w="363" w:type="pct"/>
            <w:vAlign w:val="center"/>
          </w:tcPr>
          <w:p>
            <w:pPr>
              <w:jc w:val="center"/>
              <w:rPr>
                <w:rFonts w:ascii="宋体" w:hAnsi="宋体"/>
                <w:kern w:val="2"/>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362" w:type="pct"/>
            <w:vAlign w:val="center"/>
          </w:tcPr>
          <w:p>
            <w:pPr>
              <w:jc w:val="center"/>
              <w:rPr>
                <w:rFonts w:ascii="宋体" w:hAnsi="宋体"/>
                <w:kern w:val="2"/>
                <w:szCs w:val="21"/>
              </w:rPr>
            </w:pPr>
            <w:r>
              <w:rPr>
                <w:rFonts w:hint="eastAsia" w:ascii="宋体" w:hAnsi="宋体"/>
                <w:kern w:val="2"/>
                <w:szCs w:val="21"/>
              </w:rPr>
              <w:t>7</w:t>
            </w:r>
          </w:p>
        </w:tc>
        <w:tc>
          <w:tcPr>
            <w:tcW w:w="1376" w:type="pct"/>
            <w:vAlign w:val="center"/>
          </w:tcPr>
          <w:p>
            <w:pPr>
              <w:jc w:val="center"/>
              <w:rPr>
                <w:rFonts w:ascii="宋体" w:hAnsi="宋体"/>
                <w:kern w:val="2"/>
                <w:szCs w:val="21"/>
              </w:rPr>
            </w:pPr>
            <w:r>
              <w:rPr>
                <w:rFonts w:hint="eastAsia" w:ascii="宋体" w:hAnsi="宋体"/>
                <w:kern w:val="2"/>
                <w:szCs w:val="21"/>
              </w:rPr>
              <w:t>积极配合医院完成迎检工作、各项中心任务、病媒生物应急消杀工作，严格按医院疫情防控要求开展工作</w:t>
            </w:r>
          </w:p>
        </w:tc>
        <w:tc>
          <w:tcPr>
            <w:tcW w:w="1700" w:type="pct"/>
            <w:vAlign w:val="center"/>
          </w:tcPr>
          <w:p>
            <w:pPr>
              <w:jc w:val="center"/>
              <w:rPr>
                <w:rFonts w:ascii="宋体" w:hAnsi="宋体"/>
                <w:kern w:val="2"/>
                <w:szCs w:val="21"/>
              </w:rPr>
            </w:pPr>
            <w:r>
              <w:rPr>
                <w:rFonts w:hint="eastAsia" w:ascii="宋体" w:hAnsi="宋体"/>
                <w:kern w:val="2"/>
                <w:szCs w:val="21"/>
              </w:rPr>
              <w:t>不配合医院完成任务每次扣30%月服务费和扣5分/次；不按医院疫情防控要求开展工作扣0.5分/人·次。</w:t>
            </w:r>
          </w:p>
        </w:tc>
        <w:tc>
          <w:tcPr>
            <w:tcW w:w="401" w:type="pct"/>
            <w:vAlign w:val="center"/>
          </w:tcPr>
          <w:p>
            <w:pPr>
              <w:jc w:val="center"/>
              <w:rPr>
                <w:rFonts w:ascii="宋体" w:hAnsi="宋体"/>
                <w:kern w:val="2"/>
                <w:szCs w:val="21"/>
              </w:rPr>
            </w:pPr>
            <w:r>
              <w:rPr>
                <w:rFonts w:hint="eastAsia" w:ascii="宋体" w:hAnsi="宋体"/>
                <w:kern w:val="2"/>
                <w:szCs w:val="21"/>
              </w:rPr>
              <w:t>10</w:t>
            </w:r>
          </w:p>
        </w:tc>
        <w:tc>
          <w:tcPr>
            <w:tcW w:w="417" w:type="pct"/>
            <w:vAlign w:val="center"/>
          </w:tcPr>
          <w:p>
            <w:pPr>
              <w:rPr>
                <w:rFonts w:ascii="宋体" w:hAnsi="宋体"/>
                <w:kern w:val="2"/>
                <w:szCs w:val="21"/>
              </w:rPr>
            </w:pPr>
          </w:p>
        </w:tc>
        <w:tc>
          <w:tcPr>
            <w:tcW w:w="381" w:type="pct"/>
            <w:vAlign w:val="center"/>
          </w:tcPr>
          <w:p>
            <w:pPr>
              <w:jc w:val="center"/>
              <w:rPr>
                <w:rFonts w:ascii="宋体" w:hAnsi="宋体"/>
                <w:kern w:val="2"/>
                <w:szCs w:val="21"/>
              </w:rPr>
            </w:pPr>
          </w:p>
        </w:tc>
        <w:tc>
          <w:tcPr>
            <w:tcW w:w="363" w:type="pct"/>
            <w:vAlign w:val="center"/>
          </w:tcPr>
          <w:p>
            <w:pPr>
              <w:jc w:val="center"/>
              <w:rPr>
                <w:rFonts w:ascii="宋体" w:hAnsi="宋体"/>
                <w:kern w:val="2"/>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3839" w:type="pct"/>
            <w:gridSpan w:val="4"/>
            <w:vAlign w:val="center"/>
          </w:tcPr>
          <w:p>
            <w:pPr>
              <w:jc w:val="center"/>
              <w:rPr>
                <w:rFonts w:ascii="宋体" w:hAnsi="宋体"/>
                <w:kern w:val="2"/>
                <w:szCs w:val="21"/>
              </w:rPr>
            </w:pPr>
            <w:r>
              <w:rPr>
                <w:rFonts w:hint="eastAsia" w:ascii="宋体" w:hAnsi="宋体"/>
                <w:kern w:val="2"/>
                <w:szCs w:val="21"/>
              </w:rPr>
              <w:t>合计</w:t>
            </w:r>
          </w:p>
        </w:tc>
        <w:tc>
          <w:tcPr>
            <w:tcW w:w="1161" w:type="pct"/>
            <w:gridSpan w:val="3"/>
            <w:vAlign w:val="center"/>
          </w:tcPr>
          <w:p>
            <w:pPr>
              <w:jc w:val="center"/>
              <w:rPr>
                <w:rFonts w:ascii="宋体" w:hAnsi="宋体"/>
                <w:kern w:val="2"/>
                <w:szCs w:val="21"/>
              </w:rPr>
            </w:pPr>
          </w:p>
        </w:tc>
      </w:tr>
    </w:tbl>
    <w:p>
      <w:pPr>
        <w:rPr>
          <w:sz w:val="24"/>
          <w:szCs w:val="24"/>
        </w:rPr>
      </w:pPr>
    </w:p>
    <w:p>
      <w:pPr>
        <w:rPr>
          <w:rFonts w:ascii="宋体" w:hAnsi="宋体"/>
          <w:kern w:val="2"/>
          <w:szCs w:val="18"/>
        </w:rPr>
      </w:pPr>
      <w:r>
        <w:rPr>
          <w:rFonts w:hint="eastAsia" w:ascii="宋体" w:hAnsi="宋体"/>
          <w:kern w:val="2"/>
          <w:szCs w:val="18"/>
        </w:rPr>
        <w:t>考评人签名：                                                                            公司确认签名：</w:t>
      </w:r>
    </w:p>
    <w:p>
      <w:pPr>
        <w:rPr>
          <w:rFonts w:ascii="宋体" w:hAnsi="宋体"/>
          <w:kern w:val="2"/>
          <w:szCs w:val="18"/>
        </w:rPr>
      </w:pPr>
    </w:p>
    <w:p>
      <w:pPr>
        <w:rPr>
          <w:rFonts w:ascii="宋体" w:hAnsi="宋体"/>
          <w:kern w:val="2"/>
          <w:szCs w:val="18"/>
        </w:rPr>
      </w:pPr>
      <w:r>
        <w:rPr>
          <w:rFonts w:hint="eastAsia" w:ascii="宋体" w:hAnsi="宋体"/>
          <w:kern w:val="2"/>
          <w:szCs w:val="18"/>
        </w:rPr>
        <w:t>日期：                                                                                  日期：</w:t>
      </w:r>
    </w:p>
    <w:p>
      <w:pPr>
        <w:rPr>
          <w:sz w:val="24"/>
          <w:szCs w:val="24"/>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Cambria">
    <w:altName w:val="Georgia"/>
    <w:panose1 w:val="02040503050406030204"/>
    <w:charset w:val="00"/>
    <w:family w:val="roman"/>
    <w:pitch w:val="default"/>
    <w:sig w:usb0="00000000" w:usb1="00000000" w:usb2="00000000" w:usb3="00000000" w:csb0="0000019F" w:csb1="00000000"/>
  </w:font>
  <w:font w:name="Georgia">
    <w:panose1 w:val="02040502050405020303"/>
    <w:charset w:val="00"/>
    <w:family w:val="auto"/>
    <w:pitch w:val="default"/>
    <w:sig w:usb0="00000287" w:usb1="00000000" w:usb2="00000000" w:usb3="00000000" w:csb0="2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3BF18D1"/>
    <w:multiLevelType w:val="multilevel"/>
    <w:tmpl w:val="23BF18D1"/>
    <w:lvl w:ilvl="0" w:tentative="0">
      <w:start w:val="1"/>
      <w:numFmt w:val="decimal"/>
      <w:suff w:val="nothing"/>
      <w:lvlText w:val="%1、"/>
      <w:lvlJc w:val="left"/>
      <w:pPr>
        <w:ind w:left="0" w:firstLine="0"/>
      </w:pPr>
      <w:rPr>
        <w:rFonts w:hint="eastAsia" w:ascii="宋体" w:hAnsi="宋体" w:eastAsia="宋体"/>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5B510171"/>
    <w:multiLevelType w:val="multilevel"/>
    <w:tmpl w:val="5B510171"/>
    <w:lvl w:ilvl="0" w:tentative="0">
      <w:start w:val="1"/>
      <w:numFmt w:val="chineseCountingThousand"/>
      <w:lvlText w:val="%1、"/>
      <w:lvlJc w:val="left"/>
      <w:pPr>
        <w:ind w:left="987" w:hanging="420"/>
      </w:pPr>
    </w:lvl>
    <w:lvl w:ilvl="1" w:tentative="0">
      <w:start w:val="1"/>
      <w:numFmt w:val="decimal"/>
      <w:lvlText w:val="（%2）"/>
      <w:lvlJc w:val="left"/>
      <w:pPr>
        <w:ind w:left="1562" w:hanging="720"/>
      </w:pPr>
      <w:rPr>
        <w:rFonts w:hint="default"/>
      </w:rPr>
    </w:lvl>
    <w:lvl w:ilvl="2" w:tentative="0">
      <w:start w:val="1"/>
      <w:numFmt w:val="lowerRoman"/>
      <w:lvlText w:val="%3."/>
      <w:lvlJc w:val="right"/>
      <w:pPr>
        <w:ind w:left="1682" w:hanging="420"/>
      </w:pPr>
    </w:lvl>
    <w:lvl w:ilvl="3" w:tentative="0">
      <w:start w:val="1"/>
      <w:numFmt w:val="decimal"/>
      <w:lvlText w:val="%4."/>
      <w:lvlJc w:val="left"/>
      <w:pPr>
        <w:ind w:left="2102" w:hanging="420"/>
      </w:pPr>
    </w:lvl>
    <w:lvl w:ilvl="4" w:tentative="0">
      <w:start w:val="1"/>
      <w:numFmt w:val="lowerLetter"/>
      <w:lvlText w:val="%5)"/>
      <w:lvlJc w:val="left"/>
      <w:pPr>
        <w:ind w:left="2522" w:hanging="420"/>
      </w:pPr>
    </w:lvl>
    <w:lvl w:ilvl="5" w:tentative="0">
      <w:start w:val="1"/>
      <w:numFmt w:val="lowerRoman"/>
      <w:lvlText w:val="%6."/>
      <w:lvlJc w:val="right"/>
      <w:pPr>
        <w:ind w:left="2942" w:hanging="420"/>
      </w:pPr>
    </w:lvl>
    <w:lvl w:ilvl="6" w:tentative="0">
      <w:start w:val="1"/>
      <w:numFmt w:val="decimal"/>
      <w:lvlText w:val="%7."/>
      <w:lvlJc w:val="left"/>
      <w:pPr>
        <w:ind w:left="3362" w:hanging="420"/>
      </w:pPr>
    </w:lvl>
    <w:lvl w:ilvl="7" w:tentative="0">
      <w:start w:val="1"/>
      <w:numFmt w:val="lowerLetter"/>
      <w:lvlText w:val="%8)"/>
      <w:lvlJc w:val="left"/>
      <w:pPr>
        <w:ind w:left="3782" w:hanging="420"/>
      </w:pPr>
    </w:lvl>
    <w:lvl w:ilvl="8" w:tentative="0">
      <w:start w:val="1"/>
      <w:numFmt w:val="lowerRoman"/>
      <w:lvlText w:val="%9."/>
      <w:lvlJc w:val="right"/>
      <w:pPr>
        <w:ind w:left="4202"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KGWebUrl" w:val="http://10.2.240.65:8888/seeyon/officeservlet"/>
  </w:docVars>
  <w:rsids>
    <w:rsidRoot w:val="00107C94"/>
    <w:rsid w:val="0002003A"/>
    <w:rsid w:val="00060594"/>
    <w:rsid w:val="0006505F"/>
    <w:rsid w:val="00075086"/>
    <w:rsid w:val="0007572B"/>
    <w:rsid w:val="00081A76"/>
    <w:rsid w:val="00090781"/>
    <w:rsid w:val="000B448B"/>
    <w:rsid w:val="000B7B93"/>
    <w:rsid w:val="00101ECF"/>
    <w:rsid w:val="001058FE"/>
    <w:rsid w:val="00107C94"/>
    <w:rsid w:val="00113CCD"/>
    <w:rsid w:val="00137699"/>
    <w:rsid w:val="00144898"/>
    <w:rsid w:val="001617AB"/>
    <w:rsid w:val="00195800"/>
    <w:rsid w:val="001D2946"/>
    <w:rsid w:val="001E2694"/>
    <w:rsid w:val="001E45AC"/>
    <w:rsid w:val="001F55CE"/>
    <w:rsid w:val="00200CB3"/>
    <w:rsid w:val="00205F25"/>
    <w:rsid w:val="0021661C"/>
    <w:rsid w:val="00224A17"/>
    <w:rsid w:val="00266A1A"/>
    <w:rsid w:val="00276F69"/>
    <w:rsid w:val="00282EA2"/>
    <w:rsid w:val="00297C0D"/>
    <w:rsid w:val="002A148B"/>
    <w:rsid w:val="002A7A99"/>
    <w:rsid w:val="002B0A65"/>
    <w:rsid w:val="002C7864"/>
    <w:rsid w:val="002D3275"/>
    <w:rsid w:val="002E5052"/>
    <w:rsid w:val="002F68FF"/>
    <w:rsid w:val="00310AC4"/>
    <w:rsid w:val="0033021C"/>
    <w:rsid w:val="003307AC"/>
    <w:rsid w:val="00341819"/>
    <w:rsid w:val="003705BE"/>
    <w:rsid w:val="00373F3E"/>
    <w:rsid w:val="00377B68"/>
    <w:rsid w:val="00377BDF"/>
    <w:rsid w:val="003873D4"/>
    <w:rsid w:val="003A1C5D"/>
    <w:rsid w:val="003A436D"/>
    <w:rsid w:val="003B0217"/>
    <w:rsid w:val="003B62B2"/>
    <w:rsid w:val="003C5B90"/>
    <w:rsid w:val="003D3FAD"/>
    <w:rsid w:val="003E0546"/>
    <w:rsid w:val="003E118E"/>
    <w:rsid w:val="003F03D2"/>
    <w:rsid w:val="004012C5"/>
    <w:rsid w:val="00404A1D"/>
    <w:rsid w:val="00431A45"/>
    <w:rsid w:val="00435801"/>
    <w:rsid w:val="00445C8C"/>
    <w:rsid w:val="00450313"/>
    <w:rsid w:val="0047090A"/>
    <w:rsid w:val="00484AF2"/>
    <w:rsid w:val="004858F1"/>
    <w:rsid w:val="0048631D"/>
    <w:rsid w:val="0049774B"/>
    <w:rsid w:val="004A0EFF"/>
    <w:rsid w:val="004A4486"/>
    <w:rsid w:val="004C3004"/>
    <w:rsid w:val="004C6DDB"/>
    <w:rsid w:val="00521793"/>
    <w:rsid w:val="00522B5B"/>
    <w:rsid w:val="00540894"/>
    <w:rsid w:val="00551063"/>
    <w:rsid w:val="00564FE2"/>
    <w:rsid w:val="00566CAB"/>
    <w:rsid w:val="00575D11"/>
    <w:rsid w:val="005854F1"/>
    <w:rsid w:val="00594907"/>
    <w:rsid w:val="00594BC3"/>
    <w:rsid w:val="005D44E4"/>
    <w:rsid w:val="005D5F02"/>
    <w:rsid w:val="005E06D6"/>
    <w:rsid w:val="005E2FD8"/>
    <w:rsid w:val="006133FB"/>
    <w:rsid w:val="006317F1"/>
    <w:rsid w:val="00634DA1"/>
    <w:rsid w:val="0063554C"/>
    <w:rsid w:val="00661457"/>
    <w:rsid w:val="006660CA"/>
    <w:rsid w:val="006B379D"/>
    <w:rsid w:val="006B46B3"/>
    <w:rsid w:val="006C2F87"/>
    <w:rsid w:val="006C6391"/>
    <w:rsid w:val="006E3C8A"/>
    <w:rsid w:val="006E5E28"/>
    <w:rsid w:val="006F6C9E"/>
    <w:rsid w:val="00703A3A"/>
    <w:rsid w:val="00707A88"/>
    <w:rsid w:val="00707BEE"/>
    <w:rsid w:val="007103C3"/>
    <w:rsid w:val="00710D84"/>
    <w:rsid w:val="00712D1C"/>
    <w:rsid w:val="00727471"/>
    <w:rsid w:val="007315A2"/>
    <w:rsid w:val="007320AB"/>
    <w:rsid w:val="007407E1"/>
    <w:rsid w:val="00760EBE"/>
    <w:rsid w:val="00763D6C"/>
    <w:rsid w:val="0076613A"/>
    <w:rsid w:val="0077501F"/>
    <w:rsid w:val="0078272A"/>
    <w:rsid w:val="00784757"/>
    <w:rsid w:val="007953A6"/>
    <w:rsid w:val="00797F52"/>
    <w:rsid w:val="007A15EB"/>
    <w:rsid w:val="007A24E7"/>
    <w:rsid w:val="007C5EA2"/>
    <w:rsid w:val="007D0D77"/>
    <w:rsid w:val="007E7B57"/>
    <w:rsid w:val="007F4D5A"/>
    <w:rsid w:val="007F5F0D"/>
    <w:rsid w:val="00847AEF"/>
    <w:rsid w:val="0086680A"/>
    <w:rsid w:val="00867060"/>
    <w:rsid w:val="008755EF"/>
    <w:rsid w:val="008C447F"/>
    <w:rsid w:val="008C4BAC"/>
    <w:rsid w:val="00916A1E"/>
    <w:rsid w:val="00952A52"/>
    <w:rsid w:val="009562D6"/>
    <w:rsid w:val="00966B16"/>
    <w:rsid w:val="0097215A"/>
    <w:rsid w:val="0097794E"/>
    <w:rsid w:val="009A3121"/>
    <w:rsid w:val="009B3596"/>
    <w:rsid w:val="009C1494"/>
    <w:rsid w:val="009E14F7"/>
    <w:rsid w:val="009E5EC9"/>
    <w:rsid w:val="009F605F"/>
    <w:rsid w:val="00A2099C"/>
    <w:rsid w:val="00A20BD3"/>
    <w:rsid w:val="00A272C4"/>
    <w:rsid w:val="00A3134B"/>
    <w:rsid w:val="00A32A9A"/>
    <w:rsid w:val="00A36C9A"/>
    <w:rsid w:val="00A44DC8"/>
    <w:rsid w:val="00A7648A"/>
    <w:rsid w:val="00A960B7"/>
    <w:rsid w:val="00AB0D1F"/>
    <w:rsid w:val="00AB1CE1"/>
    <w:rsid w:val="00AB2CEB"/>
    <w:rsid w:val="00AC50EB"/>
    <w:rsid w:val="00AD596B"/>
    <w:rsid w:val="00AE51F8"/>
    <w:rsid w:val="00AE7A05"/>
    <w:rsid w:val="00B1709A"/>
    <w:rsid w:val="00B205D3"/>
    <w:rsid w:val="00B25534"/>
    <w:rsid w:val="00B4026A"/>
    <w:rsid w:val="00B4111F"/>
    <w:rsid w:val="00B577FF"/>
    <w:rsid w:val="00B74017"/>
    <w:rsid w:val="00B86641"/>
    <w:rsid w:val="00BC3C56"/>
    <w:rsid w:val="00BC6614"/>
    <w:rsid w:val="00BD299B"/>
    <w:rsid w:val="00BD45F1"/>
    <w:rsid w:val="00BE00A4"/>
    <w:rsid w:val="00BF639E"/>
    <w:rsid w:val="00C53665"/>
    <w:rsid w:val="00C5404A"/>
    <w:rsid w:val="00C618BA"/>
    <w:rsid w:val="00C7355B"/>
    <w:rsid w:val="00D112AC"/>
    <w:rsid w:val="00D116B0"/>
    <w:rsid w:val="00D15169"/>
    <w:rsid w:val="00D15944"/>
    <w:rsid w:val="00D242FD"/>
    <w:rsid w:val="00D2583B"/>
    <w:rsid w:val="00D5186F"/>
    <w:rsid w:val="00D549CF"/>
    <w:rsid w:val="00D56869"/>
    <w:rsid w:val="00D7445E"/>
    <w:rsid w:val="00D827C3"/>
    <w:rsid w:val="00D90F1E"/>
    <w:rsid w:val="00DA01C0"/>
    <w:rsid w:val="00DA28C4"/>
    <w:rsid w:val="00DC2750"/>
    <w:rsid w:val="00DD350D"/>
    <w:rsid w:val="00DE68AC"/>
    <w:rsid w:val="00DF3F5F"/>
    <w:rsid w:val="00DF5416"/>
    <w:rsid w:val="00E27E7E"/>
    <w:rsid w:val="00E50392"/>
    <w:rsid w:val="00E81591"/>
    <w:rsid w:val="00E957F8"/>
    <w:rsid w:val="00EC0681"/>
    <w:rsid w:val="00EC0CB9"/>
    <w:rsid w:val="00EC71A4"/>
    <w:rsid w:val="00ED3722"/>
    <w:rsid w:val="00ED418D"/>
    <w:rsid w:val="00ED5748"/>
    <w:rsid w:val="00EE70D1"/>
    <w:rsid w:val="00EF7BFC"/>
    <w:rsid w:val="00F04638"/>
    <w:rsid w:val="00F047A7"/>
    <w:rsid w:val="00F63670"/>
    <w:rsid w:val="00F774F6"/>
    <w:rsid w:val="00FE0F7A"/>
    <w:rsid w:val="00FF2664"/>
    <w:rsid w:val="777F5F86"/>
    <w:rsid w:val="7BEB9DFF"/>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nhideWhenUsed="0" w:uiPriority="99" w:semiHidden="0" w:name="Table Subtle 1"/>
    <w:lsdException w:uiPriority="99" w:name="Table Subtle 2"/>
    <w:lsdException w:uiPriority="99" w:name="Table Web 1"/>
    <w:lsdException w:unhideWhenUsed="0" w:uiPriority="99" w:semiHidden="0" w:name="Table Web 2"/>
    <w:lsdException w:unhideWhenUsed="0" w:uiPriority="99" w:semiHidden="0"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Cambria" w:hAnsi="Cambria" w:eastAsia="宋体" w:cs="Times New Roman"/>
      <w:sz w:val="21"/>
      <w:lang w:val="en-US" w:eastAsia="zh-CN" w:bidi="ar-SA"/>
    </w:rPr>
  </w:style>
  <w:style w:type="character" w:default="1" w:styleId="10">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6"/>
    <w:semiHidden/>
    <w:unhideWhenUsed/>
    <w:uiPriority w:val="99"/>
  </w:style>
  <w:style w:type="paragraph" w:styleId="3">
    <w:name w:val="Balloon Text"/>
    <w:basedOn w:val="1"/>
    <w:link w:val="15"/>
    <w:semiHidden/>
    <w:unhideWhenUsed/>
    <w:uiPriority w:val="99"/>
    <w:rPr>
      <w:sz w:val="18"/>
      <w:szCs w:val="18"/>
    </w:rPr>
  </w:style>
  <w:style w:type="paragraph" w:styleId="4">
    <w:name w:val="footer"/>
    <w:basedOn w:val="1"/>
    <w:link w:val="14"/>
    <w:unhideWhenUsed/>
    <w:uiPriority w:val="99"/>
    <w:pPr>
      <w:tabs>
        <w:tab w:val="center" w:pos="4153"/>
        <w:tab w:val="right" w:pos="8306"/>
      </w:tabs>
      <w:snapToGrid w:val="0"/>
    </w:pPr>
    <w:rPr>
      <w:sz w:val="18"/>
      <w:szCs w:val="18"/>
    </w:rPr>
  </w:style>
  <w:style w:type="paragraph" w:styleId="5">
    <w:name w:val="header"/>
    <w:basedOn w:val="1"/>
    <w:link w:val="13"/>
    <w:unhideWhenUsed/>
    <w:uiPriority w:val="99"/>
    <w:pPr>
      <w:pBdr>
        <w:bottom w:val="single" w:color="auto" w:sz="6" w:space="1"/>
      </w:pBdr>
      <w:tabs>
        <w:tab w:val="center" w:pos="4153"/>
        <w:tab w:val="right" w:pos="8306"/>
      </w:tabs>
      <w:snapToGrid w:val="0"/>
      <w:jc w:val="center"/>
    </w:pPr>
    <w:rPr>
      <w:sz w:val="18"/>
      <w:szCs w:val="18"/>
    </w:rPr>
  </w:style>
  <w:style w:type="paragraph" w:styleId="6">
    <w:name w:val="Body Text Indent 3"/>
    <w:basedOn w:val="1"/>
    <w:link w:val="19"/>
    <w:qFormat/>
    <w:uiPriority w:val="0"/>
    <w:pPr>
      <w:widowControl w:val="0"/>
      <w:spacing w:line="360" w:lineRule="auto"/>
      <w:ind w:firstLine="420" w:firstLineChars="200"/>
      <w:jc w:val="both"/>
    </w:pPr>
    <w:rPr>
      <w:kern w:val="2"/>
    </w:rPr>
  </w:style>
  <w:style w:type="paragraph" w:styleId="7">
    <w:name w:val="annotation subject"/>
    <w:basedOn w:val="2"/>
    <w:next w:val="2"/>
    <w:link w:val="17"/>
    <w:semiHidden/>
    <w:unhideWhenUsed/>
    <w:uiPriority w:val="99"/>
    <w:rPr>
      <w:b/>
      <w:bCs/>
    </w:rPr>
  </w:style>
  <w:style w:type="table" w:styleId="9">
    <w:name w:val="Table Grid"/>
    <w:qFormat/>
    <w:uiPriority w:val="0"/>
    <w:pPr>
      <w:widowControl w:val="0"/>
      <w:jc w:val="both"/>
    </w:pPr>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11">
    <w:name w:val="annotation reference"/>
    <w:basedOn w:val="10"/>
    <w:semiHidden/>
    <w:unhideWhenUsed/>
    <w:uiPriority w:val="99"/>
    <w:rPr>
      <w:sz w:val="21"/>
      <w:szCs w:val="21"/>
    </w:rPr>
  </w:style>
  <w:style w:type="paragraph" w:styleId="12">
    <w:name w:val="List Paragraph"/>
    <w:basedOn w:val="1"/>
    <w:qFormat/>
    <w:uiPriority w:val="34"/>
    <w:pPr>
      <w:ind w:firstLine="420" w:firstLineChars="200"/>
    </w:pPr>
  </w:style>
  <w:style w:type="character" w:customStyle="1" w:styleId="13">
    <w:name w:val="页眉 字符"/>
    <w:basedOn w:val="10"/>
    <w:link w:val="5"/>
    <w:uiPriority w:val="99"/>
    <w:rPr>
      <w:sz w:val="18"/>
      <w:szCs w:val="18"/>
    </w:rPr>
  </w:style>
  <w:style w:type="character" w:customStyle="1" w:styleId="14">
    <w:name w:val="页脚 字符"/>
    <w:basedOn w:val="10"/>
    <w:link w:val="4"/>
    <w:uiPriority w:val="99"/>
    <w:rPr>
      <w:sz w:val="18"/>
      <w:szCs w:val="18"/>
    </w:rPr>
  </w:style>
  <w:style w:type="character" w:customStyle="1" w:styleId="15">
    <w:name w:val="批注框文本 字符"/>
    <w:basedOn w:val="10"/>
    <w:link w:val="3"/>
    <w:semiHidden/>
    <w:uiPriority w:val="99"/>
    <w:rPr>
      <w:sz w:val="18"/>
      <w:szCs w:val="18"/>
    </w:rPr>
  </w:style>
  <w:style w:type="character" w:customStyle="1" w:styleId="16">
    <w:name w:val="批注文字 字符"/>
    <w:basedOn w:val="10"/>
    <w:link w:val="2"/>
    <w:semiHidden/>
    <w:uiPriority w:val="99"/>
  </w:style>
  <w:style w:type="character" w:customStyle="1" w:styleId="17">
    <w:name w:val="批注主题 字符"/>
    <w:basedOn w:val="16"/>
    <w:link w:val="7"/>
    <w:semiHidden/>
    <w:uiPriority w:val="99"/>
    <w:rPr>
      <w:b/>
      <w:bCs/>
    </w:rPr>
  </w:style>
  <w:style w:type="paragraph" w:customStyle="1" w:styleId="18">
    <w:name w:val="_Style 3"/>
    <w:basedOn w:val="1"/>
    <w:next w:val="6"/>
    <w:qFormat/>
    <w:uiPriority w:val="0"/>
    <w:pPr>
      <w:widowControl w:val="0"/>
      <w:ind w:firstLine="420" w:firstLineChars="200"/>
      <w:jc w:val="both"/>
    </w:pPr>
    <w:rPr>
      <w:kern w:val="2"/>
      <w:sz w:val="20"/>
      <w:szCs w:val="24"/>
    </w:rPr>
  </w:style>
  <w:style w:type="character" w:customStyle="1" w:styleId="19">
    <w:name w:val="正文文本缩进 3 字符"/>
    <w:basedOn w:val="10"/>
    <w:link w:val="6"/>
    <w:qFormat/>
    <w:uiPriority w:val="0"/>
    <w:rPr>
      <w:rFonts w:ascii="Cambria" w:hAnsi="Cambria" w:eastAsia="宋体" w:cs="Times New Roman"/>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Version="6" SelectedStyle="\APASixthEditionOfficeOnline.xsl" StyleName="APA"/>
</file>

<file path=customXml/itemProps1.xml><?xml version="1.0" encoding="utf-8"?>
<ds:datastoreItem xmlns:ds="http://schemas.openxmlformats.org/officeDocument/2006/customXml" ds:itemID="{E8E0D174-881C-40C1-8325-D8D424AE8CDA}">
  <ds:schemaRefs/>
</ds:datastoreItem>
</file>

<file path=docProps/app.xml><?xml version="1.0" encoding="utf-8"?>
<Properties xmlns="http://schemas.openxmlformats.org/officeDocument/2006/extended-properties" xmlns:vt="http://schemas.openxmlformats.org/officeDocument/2006/docPropsVTypes">
  <Company>Microsoft</Company>
  <Pages>9</Pages>
  <Words>877</Words>
  <Characters>5005</Characters>
  <Lines>41</Lines>
  <Paragraphs>11</Paragraphs>
  <TotalTime>0</TotalTime>
  <ScaleCrop>false</ScaleCrop>
  <LinksUpToDate>false</LinksUpToDate>
  <CharactersWithSpaces>5871</CharactersWithSpaces>
  <Application>WPS Office WWO_wpscloud_20221219222043-3c017ac330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2023-11-17T14:57:00Z</dcterms:created>
  <dc:creator>肖翔</dc:creator>
  <cp:lastModifiedBy>李映晖</cp:lastModifiedBy>
  <dcterms:modified xsi:type="dcterms:W3CDTF">2023-11-17T17:54:21Z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ies>
</file>