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根据贵方发布的《广医附属番禺中心医院智慧无线及骨干网络改造一期项目》市场价格调研，本人代表供应商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．我方的方案报价文件自截止之日起有效期为1年。</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pStyle w:val="2"/>
        <w:keepNext w:val="0"/>
        <w:keepLines w:val="0"/>
        <w:spacing w:before="0" w:after="0"/>
        <w:rPr>
          <w:rFonts w:ascii="宋体" w:hAnsi="宋体" w:cs="Arial"/>
          <w:b w:val="0"/>
          <w:bCs w:val="0"/>
          <w:kern w:val="2"/>
          <w:sz w:val="21"/>
          <w:szCs w:val="21"/>
        </w:rPr>
      </w:pPr>
      <w:r>
        <w:rPr>
          <w:rFonts w:hint="eastAsia" w:ascii="宋体" w:hAnsi="宋体"/>
          <w:b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《广医附属番禺中心医院智慧无线及骨干网络改造一期项目》</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b w:val="0"/>
          <w:kern w:val="2"/>
          <w:sz w:val="21"/>
          <w:szCs w:val="21"/>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在研究了方案和有关文件后，我们《广医附属番禺中心医院智慧无线及骨干网络改造一期项目》报价如下：</w:t>
      </w:r>
    </w:p>
    <w:p>
      <w:pPr>
        <w:tabs>
          <w:tab w:val="left" w:pos="120"/>
          <w:tab w:val="left" w:pos="1800"/>
          <w:tab w:val="left" w:pos="3720"/>
          <w:tab w:val="left" w:pos="5880"/>
          <w:tab w:val="left" w:pos="7800"/>
        </w:tabs>
        <w:spacing w:line="360" w:lineRule="auto"/>
        <w:ind w:firstLine="600"/>
        <w:rPr>
          <w:rFonts w:ascii="宋体" w:hAnsi="宋体" w:cs="Arial"/>
          <w:szCs w:val="21"/>
        </w:rPr>
      </w:pPr>
    </w:p>
    <w:tbl>
      <w:tblPr>
        <w:tblStyle w:val="38"/>
        <w:tblW w:w="5000" w:type="pct"/>
        <w:jc w:val="center"/>
        <w:tblLayout w:type="autofit"/>
        <w:tblCellMar>
          <w:top w:w="0" w:type="dxa"/>
          <w:left w:w="30" w:type="dxa"/>
          <w:bottom w:w="0" w:type="dxa"/>
          <w:right w:w="30" w:type="dxa"/>
        </w:tblCellMar>
      </w:tblPr>
      <w:tblGrid>
        <w:gridCol w:w="991"/>
        <w:gridCol w:w="4269"/>
        <w:gridCol w:w="2663"/>
        <w:gridCol w:w="1775"/>
      </w:tblGrid>
      <w:tr>
        <w:tblPrEx>
          <w:tblCellMar>
            <w:top w:w="0" w:type="dxa"/>
            <w:left w:w="30" w:type="dxa"/>
            <w:bottom w:w="0" w:type="dxa"/>
            <w:right w:w="30" w:type="dxa"/>
          </w:tblCellMar>
        </w:tblPrEx>
        <w:trPr>
          <w:trHeight w:val="657"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b/>
                <w:bCs/>
                <w:sz w:val="24"/>
                <w:szCs w:val="24"/>
              </w:rPr>
            </w:pPr>
            <w:r>
              <w:rPr>
                <w:rFonts w:hint="eastAsia" w:ascii="宋体" w:hAnsi="宋体" w:cs="宋体"/>
                <w:b/>
                <w:bCs/>
                <w:sz w:val="24"/>
                <w:szCs w:val="24"/>
              </w:rPr>
              <w:t>序号</w:t>
            </w:r>
          </w:p>
        </w:tc>
        <w:tc>
          <w:tcPr>
            <w:tcW w:w="220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b/>
                <w:bCs/>
                <w:sz w:val="24"/>
                <w:szCs w:val="24"/>
              </w:rPr>
            </w:pPr>
            <w:r>
              <w:rPr>
                <w:rFonts w:hint="eastAsia" w:ascii="宋体" w:hAnsi="宋体" w:cs="宋体"/>
                <w:b/>
                <w:bCs/>
                <w:sz w:val="24"/>
                <w:szCs w:val="24"/>
              </w:rPr>
              <w:t>分部分项名称</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b/>
                <w:bCs/>
                <w:sz w:val="24"/>
                <w:szCs w:val="24"/>
              </w:rPr>
            </w:pPr>
            <w:r>
              <w:rPr>
                <w:rFonts w:hint="eastAsia" w:ascii="宋体" w:hAnsi="宋体" w:cs="宋体"/>
                <w:b/>
                <w:bCs/>
                <w:sz w:val="24"/>
                <w:szCs w:val="24"/>
              </w:rPr>
              <w:t>合计价格</w:t>
            </w:r>
          </w:p>
        </w:tc>
        <w:tc>
          <w:tcPr>
            <w:tcW w:w="915"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b/>
                <w:bCs/>
                <w:sz w:val="24"/>
                <w:szCs w:val="24"/>
              </w:rPr>
            </w:pPr>
            <w:r>
              <w:rPr>
                <w:rFonts w:hint="eastAsia" w:ascii="宋体" w:hAnsi="宋体" w:cs="宋体"/>
                <w:b/>
                <w:bCs/>
                <w:sz w:val="24"/>
                <w:szCs w:val="24"/>
              </w:rPr>
              <w:t>备注</w:t>
            </w:r>
          </w:p>
        </w:tc>
      </w:tr>
      <w:tr>
        <w:tblPrEx>
          <w:tblCellMar>
            <w:top w:w="0" w:type="dxa"/>
            <w:left w:w="30" w:type="dxa"/>
            <w:bottom w:w="0" w:type="dxa"/>
            <w:right w:w="30" w:type="dxa"/>
          </w:tblCellMar>
        </w:tblPrEx>
        <w:trPr>
          <w:trHeight w:val="1404"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hint="eastAsia" w:ascii="宋体" w:hAnsi="宋体" w:cs="宋体"/>
                <w:sz w:val="24"/>
                <w:szCs w:val="24"/>
              </w:rPr>
              <w:t>1</w:t>
            </w:r>
          </w:p>
        </w:tc>
        <w:tc>
          <w:tcPr>
            <w:tcW w:w="2201" w:type="pct"/>
            <w:tcBorders>
              <w:top w:val="single" w:color="auto" w:sz="6" w:space="0"/>
              <w:left w:val="single" w:color="auto" w:sz="6" w:space="0"/>
              <w:bottom w:val="single" w:color="auto" w:sz="6" w:space="0"/>
              <w:right w:val="single" w:color="auto" w:sz="6" w:space="0"/>
            </w:tcBorders>
          </w:tcPr>
          <w:p>
            <w:pPr>
              <w:rPr>
                <w:rFonts w:ascii="宋体" w:hAnsi="宋体" w:cs="宋体"/>
                <w:bCs/>
                <w:sz w:val="24"/>
                <w:szCs w:val="24"/>
              </w:rPr>
            </w:pPr>
            <w:r>
              <w:rPr>
                <w:rFonts w:hint="eastAsia"/>
              </w:rPr>
              <w:t>1号楼、2号楼、3号楼和5号楼配套工程</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s="宋体"/>
                <w:sz w:val="24"/>
                <w:szCs w:val="24"/>
              </w:rPr>
            </w:pPr>
          </w:p>
        </w:tc>
        <w:tc>
          <w:tcPr>
            <w:tcW w:w="915" w:type="pct"/>
            <w:vMerge w:val="restart"/>
            <w:tcBorders>
              <w:top w:val="single" w:color="auto" w:sz="6" w:space="0"/>
              <w:left w:val="single" w:color="auto" w:sz="6" w:space="0"/>
              <w:right w:val="single" w:color="auto" w:sz="6" w:space="0"/>
            </w:tcBorders>
            <w:vAlign w:val="center"/>
          </w:tcPr>
          <w:p>
            <w:pPr>
              <w:rPr>
                <w:lang w:val="zh-CN"/>
              </w:rPr>
            </w:pPr>
            <w:r>
              <w:rPr>
                <w:rFonts w:hint="eastAsia"/>
                <w:lang w:val="zh-CN"/>
              </w:rPr>
              <w:t>1、承建方需根据在库清单情况，按需求书“三、项目覆盖范围”要求进行综合布线系统及安装工程改造。为准确估算造价，承建方可于报价前对用户现状进行实地勘察。</w:t>
            </w:r>
          </w:p>
          <w:p>
            <w:pPr>
              <w:rPr>
                <w:lang w:val="zh-CN"/>
              </w:rPr>
            </w:pPr>
            <w:r>
              <w:rPr>
                <w:rFonts w:hint="eastAsia"/>
                <w:lang w:val="zh-CN"/>
              </w:rPr>
              <w:t>2、本期项目建设的详细需求，详看需求书“四、项目建设需求”或附件4。</w:t>
            </w:r>
          </w:p>
          <w:p>
            <w:pPr>
              <w:rPr>
                <w:rFonts w:ascii="宋体" w:hAnsi="宋体" w:cs="宋体"/>
                <w:sz w:val="24"/>
                <w:szCs w:val="24"/>
              </w:rPr>
            </w:pPr>
          </w:p>
        </w:tc>
      </w:tr>
      <w:tr>
        <w:tblPrEx>
          <w:tblCellMar>
            <w:top w:w="0" w:type="dxa"/>
            <w:left w:w="30" w:type="dxa"/>
            <w:bottom w:w="0" w:type="dxa"/>
            <w:right w:w="30" w:type="dxa"/>
          </w:tblCellMar>
        </w:tblPrEx>
        <w:trPr>
          <w:trHeight w:val="1570"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hint="eastAsia" w:ascii="宋体" w:hAnsi="宋体" w:cs="宋体"/>
                <w:sz w:val="24"/>
                <w:szCs w:val="24"/>
              </w:rPr>
              <w:t>2</w:t>
            </w:r>
          </w:p>
        </w:tc>
        <w:tc>
          <w:tcPr>
            <w:tcW w:w="2201" w:type="pct"/>
            <w:tcBorders>
              <w:top w:val="single" w:color="auto" w:sz="6" w:space="0"/>
              <w:left w:val="single" w:color="auto" w:sz="6" w:space="0"/>
              <w:bottom w:val="single" w:color="auto" w:sz="6" w:space="0"/>
              <w:right w:val="single" w:color="auto" w:sz="6" w:space="0"/>
            </w:tcBorders>
          </w:tcPr>
          <w:p>
            <w:pPr>
              <w:rPr>
                <w:rFonts w:ascii="宋体" w:hAnsi="宋体" w:cs="宋体"/>
                <w:bCs/>
                <w:sz w:val="24"/>
                <w:szCs w:val="24"/>
              </w:rPr>
            </w:pPr>
            <w:r>
              <w:rPr>
                <w:rFonts w:hint="eastAsia"/>
              </w:rPr>
              <w:t>1号楼、2号楼、3号楼和5号楼的无线网络</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s="宋体"/>
                <w:sz w:val="24"/>
                <w:szCs w:val="24"/>
              </w:rPr>
            </w:pPr>
          </w:p>
        </w:tc>
        <w:tc>
          <w:tcPr>
            <w:tcW w:w="915" w:type="pct"/>
            <w:vMerge w:val="continue"/>
            <w:tcBorders>
              <w:left w:val="single" w:color="auto" w:sz="6" w:space="0"/>
              <w:right w:val="single" w:color="auto" w:sz="6" w:space="0"/>
            </w:tcBorders>
            <w:vAlign w:val="center"/>
          </w:tcPr>
          <w:p>
            <w:pPr>
              <w:rPr>
                <w:rFonts w:ascii="宋体" w:hAnsi="宋体" w:cs="宋体"/>
                <w:sz w:val="24"/>
                <w:szCs w:val="24"/>
              </w:rPr>
            </w:pPr>
          </w:p>
        </w:tc>
      </w:tr>
      <w:tr>
        <w:tblPrEx>
          <w:tblCellMar>
            <w:top w:w="0" w:type="dxa"/>
            <w:left w:w="30" w:type="dxa"/>
            <w:bottom w:w="0" w:type="dxa"/>
            <w:right w:w="30" w:type="dxa"/>
          </w:tblCellMar>
        </w:tblPrEx>
        <w:trPr>
          <w:trHeight w:val="1411"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hint="eastAsia" w:ascii="宋体" w:hAnsi="宋体" w:cs="宋体"/>
                <w:sz w:val="24"/>
                <w:szCs w:val="24"/>
              </w:rPr>
              <w:t>3</w:t>
            </w:r>
          </w:p>
        </w:tc>
        <w:tc>
          <w:tcPr>
            <w:tcW w:w="2201" w:type="pct"/>
            <w:tcBorders>
              <w:top w:val="single" w:color="auto" w:sz="6" w:space="0"/>
              <w:left w:val="single" w:color="auto" w:sz="6" w:space="0"/>
              <w:bottom w:val="single" w:color="auto" w:sz="6" w:space="0"/>
              <w:right w:val="single" w:color="auto" w:sz="6" w:space="0"/>
            </w:tcBorders>
          </w:tcPr>
          <w:p>
            <w:pPr>
              <w:rPr>
                <w:rFonts w:ascii="宋体" w:hAnsi="宋体" w:cs="宋体"/>
                <w:sz w:val="24"/>
                <w:szCs w:val="24"/>
              </w:rPr>
            </w:pPr>
            <w:r>
              <w:rPr>
                <w:rFonts w:hint="eastAsia"/>
              </w:rPr>
              <w:t>1号楼、2号楼、3号楼和5号楼的有线网络</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s="宋体"/>
                <w:sz w:val="24"/>
                <w:szCs w:val="24"/>
              </w:rPr>
            </w:pPr>
          </w:p>
        </w:tc>
        <w:tc>
          <w:tcPr>
            <w:tcW w:w="915" w:type="pct"/>
            <w:vMerge w:val="continue"/>
            <w:tcBorders>
              <w:left w:val="single" w:color="auto" w:sz="6" w:space="0"/>
              <w:right w:val="single" w:color="auto" w:sz="6" w:space="0"/>
            </w:tcBorders>
            <w:vAlign w:val="center"/>
          </w:tcPr>
          <w:p>
            <w:pPr>
              <w:rPr>
                <w:rFonts w:ascii="宋体" w:hAnsi="宋体" w:cs="宋体"/>
                <w:sz w:val="24"/>
                <w:szCs w:val="24"/>
              </w:rPr>
            </w:pPr>
          </w:p>
        </w:tc>
      </w:tr>
      <w:tr>
        <w:tblPrEx>
          <w:tblCellMar>
            <w:top w:w="0" w:type="dxa"/>
            <w:left w:w="30" w:type="dxa"/>
            <w:bottom w:w="0" w:type="dxa"/>
            <w:right w:w="30" w:type="dxa"/>
          </w:tblCellMar>
        </w:tblPrEx>
        <w:trPr>
          <w:trHeight w:val="1411"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hint="eastAsia" w:ascii="宋体" w:hAnsi="宋体" w:cs="宋体"/>
                <w:sz w:val="24"/>
                <w:szCs w:val="24"/>
              </w:rPr>
              <w:t>4</w:t>
            </w:r>
          </w:p>
        </w:tc>
        <w:tc>
          <w:tcPr>
            <w:tcW w:w="2201" w:type="pct"/>
            <w:tcBorders>
              <w:top w:val="single" w:color="auto" w:sz="6" w:space="0"/>
              <w:left w:val="single" w:color="auto" w:sz="6" w:space="0"/>
              <w:bottom w:val="single" w:color="auto" w:sz="6" w:space="0"/>
              <w:right w:val="single" w:color="auto" w:sz="6" w:space="0"/>
            </w:tcBorders>
          </w:tcPr>
          <w:p>
            <w:r>
              <w:rPr>
                <w:rFonts w:hint="eastAsia"/>
              </w:rPr>
              <w:t>集成服务</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s="宋体"/>
                <w:sz w:val="24"/>
                <w:szCs w:val="24"/>
              </w:rPr>
            </w:pPr>
          </w:p>
        </w:tc>
        <w:tc>
          <w:tcPr>
            <w:tcW w:w="915" w:type="pct"/>
            <w:vMerge w:val="continue"/>
            <w:tcBorders>
              <w:left w:val="single" w:color="auto" w:sz="6" w:space="0"/>
              <w:bottom w:val="single" w:color="auto" w:sz="6" w:space="0"/>
              <w:right w:val="single" w:color="auto" w:sz="6" w:space="0"/>
            </w:tcBorders>
            <w:vAlign w:val="center"/>
          </w:tcPr>
          <w:p>
            <w:pPr>
              <w:rPr>
                <w:rFonts w:ascii="宋体" w:hAnsi="宋体" w:cs="宋体"/>
                <w:sz w:val="24"/>
                <w:szCs w:val="24"/>
              </w:rPr>
            </w:pPr>
          </w:p>
        </w:tc>
      </w:tr>
      <w:tr>
        <w:tblPrEx>
          <w:tblCellMar>
            <w:top w:w="0" w:type="dxa"/>
            <w:left w:w="30" w:type="dxa"/>
            <w:bottom w:w="0" w:type="dxa"/>
            <w:right w:w="30" w:type="dxa"/>
          </w:tblCellMar>
        </w:tblPrEx>
        <w:trPr>
          <w:trHeight w:val="535"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ascii="宋体" w:hAnsi="宋体" w:cs="宋体"/>
                <w:sz w:val="24"/>
                <w:szCs w:val="24"/>
              </w:rPr>
              <w:t>5</w:t>
            </w:r>
          </w:p>
        </w:tc>
        <w:tc>
          <w:tcPr>
            <w:tcW w:w="2201" w:type="pct"/>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szCs w:val="24"/>
              </w:rPr>
            </w:pPr>
            <w:r>
              <w:rPr>
                <w:rFonts w:hint="eastAsia" w:ascii="宋体" w:hAnsi="宋体" w:cs="宋体"/>
                <w:sz w:val="24"/>
                <w:szCs w:val="24"/>
              </w:rPr>
              <w:t>总价格</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s="宋体"/>
                <w:sz w:val="24"/>
                <w:szCs w:val="24"/>
              </w:rPr>
            </w:pPr>
          </w:p>
        </w:tc>
        <w:tc>
          <w:tcPr>
            <w:tcW w:w="915" w:type="pct"/>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p>
        </w:tc>
      </w:tr>
      <w:tr>
        <w:tblPrEx>
          <w:tblCellMar>
            <w:top w:w="0" w:type="dxa"/>
            <w:left w:w="30" w:type="dxa"/>
            <w:bottom w:w="0" w:type="dxa"/>
            <w:right w:w="30" w:type="dxa"/>
          </w:tblCellMar>
        </w:tblPrEx>
        <w:trPr>
          <w:trHeight w:val="535" w:hRule="exact"/>
          <w:jc w:val="center"/>
        </w:trPr>
        <w:tc>
          <w:tcPr>
            <w:tcW w:w="511"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hint="eastAsia" w:ascii="宋体" w:hAnsi="宋体" w:cs="宋体"/>
                <w:sz w:val="24"/>
                <w:szCs w:val="24"/>
              </w:rPr>
              <w:t>6</w:t>
            </w:r>
          </w:p>
        </w:tc>
        <w:tc>
          <w:tcPr>
            <w:tcW w:w="2201" w:type="pct"/>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szCs w:val="24"/>
              </w:rPr>
            </w:pPr>
            <w:r>
              <w:rPr>
                <w:rFonts w:hint="eastAsia" w:ascii="宋体" w:hAnsi="宋体" w:cs="宋体"/>
                <w:sz w:val="24"/>
                <w:szCs w:val="24"/>
              </w:rPr>
              <w:t>维保期外的费率</w:t>
            </w:r>
          </w:p>
        </w:tc>
        <w:tc>
          <w:tcPr>
            <w:tcW w:w="1373"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szCs w:val="24"/>
              </w:rPr>
            </w:pPr>
            <w:r>
              <w:rPr>
                <w:rFonts w:hint="eastAsia" w:ascii="宋体" w:hAnsi="宋体" w:cs="宋体"/>
                <w:sz w:val="24"/>
                <w:szCs w:val="24"/>
              </w:rPr>
              <w:t xml:space="preserve">总价格的 </w:t>
            </w:r>
            <w:r>
              <w:rPr>
                <w:rFonts w:ascii="宋体" w:hAnsi="宋体" w:cs="宋体"/>
                <w:sz w:val="24"/>
                <w:szCs w:val="24"/>
              </w:rPr>
              <w:t xml:space="preserve">  %</w:t>
            </w:r>
          </w:p>
        </w:tc>
        <w:tc>
          <w:tcPr>
            <w:tcW w:w="915" w:type="pct"/>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p>
        </w:tc>
      </w:tr>
    </w:tbl>
    <w:p>
      <w:pPr>
        <w:spacing w:line="360" w:lineRule="auto"/>
        <w:rPr>
          <w:rFonts w:ascii="宋体" w:hAnsi="宋体" w:cs="Arial"/>
          <w:szCs w:val="21"/>
        </w:rPr>
      </w:pP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附件4详细报价清单</w:t>
      </w:r>
    </w:p>
    <w:p>
      <w:pPr>
        <w:spacing w:line="360" w:lineRule="auto"/>
        <w:ind w:firstLine="420" w:firstLineChars="200"/>
      </w:pPr>
      <w:r>
        <w:rPr>
          <w:rFonts w:hint="eastAsia" w:asciiTheme="minorEastAsia" w:hAnsiTheme="minorEastAsia" w:eastAsiaTheme="minorEastAsia"/>
        </w:rPr>
        <w:t>本期项目参考建设需求（数量列有数量的为已经确定需求，参与调研单位均需要响应；数量列为空的为可变需求（根据所提供的技术方案进行选择并配置具体数量），可变需求部分数量及设备材料规格由各参与调研单位自行补充（</w:t>
      </w:r>
      <w:r>
        <w:rPr>
          <w:rFonts w:hint="eastAsia" w:asciiTheme="minorEastAsia" w:hAnsiTheme="minorEastAsia" w:eastAsiaTheme="minorEastAsia"/>
          <w:b/>
          <w:bCs/>
        </w:rPr>
        <w:t>表格中数量为空的具体可以根据1号楼、2号楼、3号楼和5号楼的建筑CAD图来计算工程量</w:t>
      </w:r>
      <w:r>
        <w:rPr>
          <w:rFonts w:hint="eastAsia" w:asciiTheme="minorEastAsia" w:hAnsiTheme="minorEastAsia" w:eastAsiaTheme="minorEastAsia"/>
        </w:rPr>
        <w:t>），如方案还涉及到其他需要的设备材料，可以自行增加行，表头要与下表保持一致），</w:t>
      </w:r>
      <w:r>
        <w:rPr>
          <w:rFonts w:hint="eastAsia"/>
        </w:rPr>
        <w:t>详细报价包含但不限于以下，请根据技术方案完善补充：</w:t>
      </w:r>
    </w:p>
    <w:tbl>
      <w:tblPr>
        <w:tblStyle w:val="38"/>
        <w:tblW w:w="10499" w:type="dxa"/>
        <w:tblInd w:w="-431" w:type="dxa"/>
        <w:tblLayout w:type="autofit"/>
        <w:tblCellMar>
          <w:top w:w="0" w:type="dxa"/>
          <w:left w:w="108" w:type="dxa"/>
          <w:bottom w:w="0" w:type="dxa"/>
          <w:right w:w="108" w:type="dxa"/>
        </w:tblCellMar>
      </w:tblPr>
      <w:tblGrid>
        <w:gridCol w:w="720"/>
        <w:gridCol w:w="2677"/>
        <w:gridCol w:w="709"/>
        <w:gridCol w:w="2552"/>
        <w:gridCol w:w="766"/>
        <w:gridCol w:w="766"/>
        <w:gridCol w:w="766"/>
        <w:gridCol w:w="766"/>
        <w:gridCol w:w="766"/>
        <w:gridCol w:w="11"/>
      </w:tblGrid>
      <w:tr>
        <w:tblPrEx>
          <w:tblCellMar>
            <w:top w:w="0" w:type="dxa"/>
            <w:left w:w="108" w:type="dxa"/>
            <w:bottom w:w="0" w:type="dxa"/>
            <w:right w:w="108" w:type="dxa"/>
          </w:tblCellMar>
        </w:tblPrEx>
        <w:trPr>
          <w:gridAfter w:val="1"/>
          <w:wAfter w:w="11" w:type="dxa"/>
          <w:trHeight w:val="84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2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分项名称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设备、材料规格及项目特征描述</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数量</w:t>
            </w:r>
          </w:p>
        </w:tc>
        <w:tc>
          <w:tcPr>
            <w:tcW w:w="7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Cs w:val="21"/>
              </w:rPr>
              <w:t>综合单价</w:t>
            </w:r>
          </w:p>
        </w:tc>
        <w:tc>
          <w:tcPr>
            <w:tcW w:w="7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Cs w:val="21"/>
              </w:rPr>
              <w:t>综合合价</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Cs w:val="21"/>
              </w:rPr>
              <w:t>品牌</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840" w:hRule="atLeast"/>
        </w:trPr>
        <w:tc>
          <w:tcPr>
            <w:tcW w:w="104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一、1号楼、2号楼、3号楼和5号楼配套工程</w:t>
            </w: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6类 PVC 屏蔽 RJ45 跳线、蓝色 3米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条</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4711</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LC-LC双芯单模9/123um光纤跳线 2米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条</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810</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24口光纤配线架（含光纤适配条，成端尾纤)</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86</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200*100镀锌线槽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镀锌桥架金属线槽 200*100*1.2</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12芯单模光缆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976</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24芯单模光缆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800</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1000*600*2000服务器机柜</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光缆成端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芯</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2064</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840" w:hRule="atLeast"/>
        </w:trPr>
        <w:tc>
          <w:tcPr>
            <w:tcW w:w="104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二、1号楼、2号楼、3号楼和5号楼的无线网络</w:t>
            </w: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6类4对屏蔽双绞线室内电缆（蓝色）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1U24口屏蔽空配线架，带尾板，含6类屏蔽信息模块，免打线式180度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理线架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理线架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MS Gothic" w:hAnsi="MS Gothic" w:eastAsia="MS Gothic" w:cs="MS Gothic"/>
                <w:kern w:val="0"/>
                <w:sz w:val="22"/>
              </w:rPr>
              <w:t>∅</w:t>
            </w:r>
            <w:r>
              <w:rPr>
                <w:rFonts w:hint="eastAsia" w:ascii="宋体" w:hAnsi="宋体" w:cs="宋体"/>
                <w:kern w:val="0"/>
                <w:sz w:val="22"/>
              </w:rPr>
              <w:t>20镀锌线管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AP本体</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分体AP</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放装型AP</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分布式AP</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光射频单元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天线单元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光电复合缆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馈线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无线AC</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下一代无线控制器，自带8个光电复用口和4个SFP+万兆口。配置512个AP管理授权，可增补扩展到1152个License。配置10个万兆多模光模块</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无线接入认证系统</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提供6个GE电口，1个RJ-45配置口，USB口≥1个，硬盘≥1T，DDR2内存≥2G，支持Linux操作平台；ESS 1000授权可配版，配置2000并发在线终端数授权</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26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无线网核心交换机</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无线网汇聚交换机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24口POE接入交换机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10G FSP+光模块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16波波分复用器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16波波分解复用器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840" w:hRule="atLeast"/>
        </w:trPr>
        <w:tc>
          <w:tcPr>
            <w:tcW w:w="104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三、1号楼、2号楼、3号楼和5号楼的有线网络</w:t>
            </w: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6类4对屏蔽双绞线室内电缆（蓝色）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75600</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二位86 斜口信息面板，含6类屏蔽信息模块，免打线式180度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905</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一位86 斜口信息面板，含6类屏蔽信息模块，免打线式180度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134</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1U24口屏蔽空配线架，带尾板，含6类屏蔽信息模块，免打线式180度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109</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理线架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12档24口，冷轧钢板，19英寸1U机架式，黑色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109</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明装86型塑料底盒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明装86型塑料底盒，白色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1039</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MS Gothic" w:hAnsi="MS Gothic" w:eastAsia="MS Gothic" w:cs="MS Gothic"/>
                <w:kern w:val="0"/>
                <w:sz w:val="22"/>
              </w:rPr>
              <w:t>∅</w:t>
            </w:r>
            <w:r>
              <w:rPr>
                <w:rFonts w:hint="eastAsia" w:ascii="宋体" w:hAnsi="宋体" w:cs="宋体"/>
                <w:kern w:val="0"/>
                <w:sz w:val="22"/>
              </w:rPr>
              <w:t>20镀锌线管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MS Gothic" w:hAnsi="MS Gothic" w:eastAsia="MS Gothic" w:cs="MS Gothic"/>
                <w:kern w:val="0"/>
                <w:sz w:val="22"/>
              </w:rPr>
              <w:t>∅</w:t>
            </w:r>
            <w:r>
              <w:rPr>
                <w:rFonts w:hint="eastAsia" w:ascii="宋体" w:hAnsi="宋体" w:cs="宋体"/>
                <w:kern w:val="0"/>
                <w:sz w:val="22"/>
              </w:rPr>
              <w:t>20镀锌线管</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3117</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20*10塑料线槽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20*10塑料线槽</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3117</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内网核心交换机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外网核心交换机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内网汇聚交换机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外网汇聚交换机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内网24口接入交换机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62</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外网24口接入交换机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院方在库材料</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47</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10G FSP+光模块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16波波分复用器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16波波分解复用器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sdn控制器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融合部署，统一UI体验，支持在单台服务器上，同时融合部署AD-Campus控制、分析、EIA、DHCP、网络管理等软件产品的能力，实现统一门户，统一UI体验。融合管理运维功能，支持交换机、无线设备、PON、安全设备、BRAS设备一网统管运维。</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2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光链路检测管理平台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支持每路光路状态监控，可直观查看设备端口的状态；</w:t>
            </w:r>
            <w:r>
              <w:rPr>
                <w:rFonts w:hint="eastAsia" w:ascii="宋体" w:hAnsi="宋体" w:cs="宋体"/>
                <w:kern w:val="0"/>
                <w:sz w:val="22"/>
              </w:rPr>
              <w:br w:type="textWrapping"/>
            </w:r>
            <w:r>
              <w:rPr>
                <w:rFonts w:hint="eastAsia" w:ascii="宋体" w:hAnsi="宋体" w:cs="宋体"/>
                <w:kern w:val="0"/>
                <w:sz w:val="22"/>
              </w:rPr>
              <w:t>支持光路状态告警，支持历史告警查询；</w:t>
            </w:r>
            <w:r>
              <w:rPr>
                <w:rFonts w:hint="eastAsia" w:ascii="宋体" w:hAnsi="宋体" w:cs="宋体"/>
                <w:kern w:val="0"/>
                <w:sz w:val="22"/>
              </w:rPr>
              <w:br w:type="textWrapping"/>
            </w:r>
            <w:r>
              <w:rPr>
                <w:rFonts w:hint="eastAsia" w:ascii="宋体" w:hAnsi="宋体" w:cs="宋体"/>
                <w:kern w:val="0"/>
                <w:sz w:val="22"/>
              </w:rPr>
              <w:t>支持设备的各项指标监测；</w:t>
            </w:r>
            <w:r>
              <w:rPr>
                <w:rFonts w:hint="eastAsia" w:ascii="宋体" w:hAnsi="宋体" w:cs="宋体"/>
                <w:kern w:val="0"/>
                <w:sz w:val="22"/>
              </w:rPr>
              <w:br w:type="textWrapping"/>
            </w:r>
            <w:r>
              <w:rPr>
                <w:rFonts w:hint="eastAsia" w:ascii="宋体" w:hAnsi="宋体" w:cs="宋体"/>
                <w:kern w:val="0"/>
                <w:sz w:val="22"/>
              </w:rPr>
              <w:t>支持光路资源管理，包含位置，节点信息，对端节点信息等；</w:t>
            </w:r>
            <w:r>
              <w:rPr>
                <w:rFonts w:hint="eastAsia" w:ascii="宋体" w:hAnsi="宋体" w:cs="宋体"/>
                <w:kern w:val="0"/>
                <w:sz w:val="22"/>
              </w:rPr>
              <w:br w:type="textWrapping"/>
            </w:r>
            <w:r>
              <w:rPr>
                <w:rFonts w:hint="eastAsia" w:ascii="宋体" w:hAnsi="宋体" w:cs="宋体"/>
                <w:kern w:val="0"/>
                <w:sz w:val="22"/>
              </w:rPr>
              <w:t>支持设备可视化管理，可直观的查看设备板卡信息及状态；</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766" w:type="dxa"/>
            <w:tcBorders>
              <w:top w:val="nil"/>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26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原有弱电线槽整理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项</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原有线槽整理3400米</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gridAfter w:val="1"/>
          <w:wAfter w:w="11" w:type="dxa"/>
          <w:trHeight w:val="84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r>
              <w:rPr>
                <w:rFonts w:ascii="宋体" w:hAnsi="宋体" w:cs="宋体"/>
                <w:kern w:val="0"/>
                <w:sz w:val="22"/>
              </w:rPr>
              <w:t>0</w:t>
            </w:r>
          </w:p>
        </w:tc>
        <w:tc>
          <w:tcPr>
            <w:tcW w:w="26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Theme="minorEastAsia" w:hAnsiTheme="minorEastAsia" w:eastAsiaTheme="minorEastAsia"/>
              </w:rPr>
              <w:t>网络准入许可授权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项</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Theme="minorEastAsia" w:hAnsiTheme="minorEastAsia" w:eastAsiaTheme="minorEastAsia"/>
              </w:rPr>
              <w:t>扩容网络准入安全设备许可授权数量≥8</w:t>
            </w:r>
            <w:r>
              <w:rPr>
                <w:rFonts w:asciiTheme="minorEastAsia" w:hAnsiTheme="minorEastAsia" w:eastAsiaTheme="minorEastAsia"/>
              </w:rPr>
              <w:t>00</w:t>
            </w:r>
            <w:r>
              <w:rPr>
                <w:rFonts w:hint="eastAsia" w:asciiTheme="minorEastAsia" w:hAnsiTheme="minorEastAsia" w:eastAsiaTheme="minorEastAsia"/>
              </w:rPr>
              <w:t>个</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c>
          <w:tcPr>
            <w:tcW w:w="7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rPr>
            </w:pP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highlight w:val="yellow"/>
        </w:rPr>
        <w:t>注：供应商可根据产品技术特点，提供不同的技术解决方案，因此上述可选项（数量列为空的为可变需求）可不同组合，数量也可不同，如缺项可追加。</w:t>
      </w:r>
    </w:p>
    <w:p/>
    <w:p>
      <w:pPr>
        <w:pStyle w:val="33"/>
        <w:ind w:firstLine="480"/>
        <w:rPr>
          <w:rFonts w:ascii="宋体" w:hAnsi="宋体" w:cs="宋体"/>
          <w:sz w:val="24"/>
        </w:rPr>
      </w:pPr>
      <w:r>
        <w:rPr>
          <w:rFonts w:hint="eastAsia" w:ascii="宋体" w:hAnsi="宋体" w:cs="宋体"/>
          <w:sz w:val="24"/>
        </w:rPr>
        <w:t>说明：1、此表可延长，</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szCs w:val="21"/>
        </w:rPr>
      </w:pPr>
    </w:p>
    <w:p>
      <w:pPr>
        <w:rPr>
          <w:lang w:val="zh-CN"/>
        </w:rPr>
      </w:pPr>
    </w:p>
    <w:p>
      <w:pPr>
        <w:rPr>
          <w:lang w:val="zh-CN"/>
        </w:rPr>
      </w:pPr>
    </w:p>
    <w:p>
      <w:pPr>
        <w:rPr>
          <w:lang w:val="zh-CN"/>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附件5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附件6 具体解决方案</w:t>
      </w:r>
    </w:p>
    <w:p>
      <w:pPr>
        <w:ind w:firstLine="480" w:firstLineChars="200"/>
        <w:rPr>
          <w:rFonts w:ascii="宋体" w:hAnsi="宋体" w:cs="宋体"/>
          <w:sz w:val="24"/>
          <w:szCs w:val="24"/>
        </w:rPr>
      </w:pPr>
      <w:r>
        <w:rPr>
          <w:rFonts w:hint="eastAsia" w:ascii="宋体" w:hAnsi="宋体" w:cs="宋体"/>
          <w:sz w:val="24"/>
          <w:szCs w:val="24"/>
        </w:rPr>
        <w:t>提供具体明细解决方案，要求结合软硬件品牌、网络拓扑、建设效果等阐明技术亮点及同行成功案例。</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7</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、公司简介、营业执照扫描件、企业规模声明函、资质证书等。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、提供报价依据，可为同类项目合同扫描件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spacing w:line="360" w:lineRule="auto"/>
        <w:rPr>
          <w:bCs/>
          <w:color w:val="FF0000"/>
          <w:szCs w:val="21"/>
        </w:rPr>
      </w:pP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Gotham-Light">
    <w:altName w:val="Arial"/>
    <w:panose1 w:val="020B0604020202020204"/>
    <w:charset w:val="00"/>
    <w:family w:val="roman"/>
    <w:pitch w:val="default"/>
    <w:sig w:usb0="00000000" w:usb1="00000000" w:usb2="00000000" w:usb3="00000000" w:csb0="00000000" w:csb1="00000000"/>
  </w:font>
  <w:font w:name="DFPHeiW3-Identity-H">
    <w:altName w:val="Arial"/>
    <w:panose1 w:val="020B0604020202020204"/>
    <w:charset w:val="00"/>
    <w:family w:val="roman"/>
    <w:pitch w:val="default"/>
    <w:sig w:usb0="00000000" w:usb1="00000000" w:usb2="00000000" w:usb3="00000000" w:csb0="00000000" w:csb1="00000000"/>
  </w:font>
  <w:font w:name="DFPHeiW7">
    <w:altName w:val="仿宋_GB2312"/>
    <w:panose1 w:val="020B0604020202020204"/>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B0604020202020204"/>
    <w:charset w:val="00"/>
    <w:family w:val="auto"/>
    <w:pitch w:val="default"/>
    <w:sig w:usb0="00000000" w:usb1="00000000" w:usb2="00000000" w:usb3="00000000" w:csb0="00000001" w:csb1="00000000"/>
  </w:font>
  <w:font w:name="MS Gothic">
    <w:altName w:val="宋体"/>
    <w:panose1 w:val="020B0609070205080204"/>
    <w:charset w:val="80"/>
    <w:family w:val="modern"/>
    <w:pitch w:val="default"/>
    <w:sig w:usb0="00000000" w:usb1="00000000"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00700E"/>
    <w:rsid w:val="00011866"/>
    <w:rsid w:val="000140EB"/>
    <w:rsid w:val="0001476C"/>
    <w:rsid w:val="00027A94"/>
    <w:rsid w:val="00035E49"/>
    <w:rsid w:val="0003746E"/>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95257"/>
    <w:rsid w:val="001A6D83"/>
    <w:rsid w:val="001B65F5"/>
    <w:rsid w:val="001C20B1"/>
    <w:rsid w:val="001D1BCB"/>
    <w:rsid w:val="001D6D8C"/>
    <w:rsid w:val="001E15D6"/>
    <w:rsid w:val="001F1E5F"/>
    <w:rsid w:val="001F3D3B"/>
    <w:rsid w:val="002012F2"/>
    <w:rsid w:val="00206CF2"/>
    <w:rsid w:val="0020757A"/>
    <w:rsid w:val="00210EDA"/>
    <w:rsid w:val="0021491E"/>
    <w:rsid w:val="002224B3"/>
    <w:rsid w:val="00225E3D"/>
    <w:rsid w:val="00226C75"/>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421CE"/>
    <w:rsid w:val="00343E0D"/>
    <w:rsid w:val="00345259"/>
    <w:rsid w:val="00351F79"/>
    <w:rsid w:val="00360936"/>
    <w:rsid w:val="00363677"/>
    <w:rsid w:val="003700E3"/>
    <w:rsid w:val="00377F94"/>
    <w:rsid w:val="003877F8"/>
    <w:rsid w:val="003A20B3"/>
    <w:rsid w:val="003A3559"/>
    <w:rsid w:val="003A36C5"/>
    <w:rsid w:val="003A792C"/>
    <w:rsid w:val="003B0BC7"/>
    <w:rsid w:val="003B116E"/>
    <w:rsid w:val="003B196B"/>
    <w:rsid w:val="003B7914"/>
    <w:rsid w:val="003C6112"/>
    <w:rsid w:val="003D153F"/>
    <w:rsid w:val="003E6A15"/>
    <w:rsid w:val="00416814"/>
    <w:rsid w:val="0041761B"/>
    <w:rsid w:val="004220B7"/>
    <w:rsid w:val="004362E6"/>
    <w:rsid w:val="00441B7C"/>
    <w:rsid w:val="00450E3F"/>
    <w:rsid w:val="00456D6D"/>
    <w:rsid w:val="00456EB9"/>
    <w:rsid w:val="00466850"/>
    <w:rsid w:val="00476CC5"/>
    <w:rsid w:val="004836CC"/>
    <w:rsid w:val="00484C86"/>
    <w:rsid w:val="00492043"/>
    <w:rsid w:val="004A346E"/>
    <w:rsid w:val="004C2577"/>
    <w:rsid w:val="004D5413"/>
    <w:rsid w:val="004E08BA"/>
    <w:rsid w:val="004E5CDB"/>
    <w:rsid w:val="004F1D1B"/>
    <w:rsid w:val="004F31E5"/>
    <w:rsid w:val="0050381B"/>
    <w:rsid w:val="0050741C"/>
    <w:rsid w:val="005209B2"/>
    <w:rsid w:val="00527B2D"/>
    <w:rsid w:val="00527B31"/>
    <w:rsid w:val="00543B81"/>
    <w:rsid w:val="00556AB0"/>
    <w:rsid w:val="0058292D"/>
    <w:rsid w:val="005843BE"/>
    <w:rsid w:val="0058583D"/>
    <w:rsid w:val="00586D5E"/>
    <w:rsid w:val="005909C5"/>
    <w:rsid w:val="005A0921"/>
    <w:rsid w:val="005A226A"/>
    <w:rsid w:val="005A5A0F"/>
    <w:rsid w:val="005B1023"/>
    <w:rsid w:val="005B2240"/>
    <w:rsid w:val="005B2DA4"/>
    <w:rsid w:val="005C3087"/>
    <w:rsid w:val="005C6852"/>
    <w:rsid w:val="005D2234"/>
    <w:rsid w:val="005D723D"/>
    <w:rsid w:val="005E00F2"/>
    <w:rsid w:val="005E00FC"/>
    <w:rsid w:val="005E1381"/>
    <w:rsid w:val="005E640E"/>
    <w:rsid w:val="005F0AD4"/>
    <w:rsid w:val="006043A3"/>
    <w:rsid w:val="00621731"/>
    <w:rsid w:val="006276A4"/>
    <w:rsid w:val="00627965"/>
    <w:rsid w:val="00631FA9"/>
    <w:rsid w:val="00642A75"/>
    <w:rsid w:val="006448BE"/>
    <w:rsid w:val="006522FA"/>
    <w:rsid w:val="00652C63"/>
    <w:rsid w:val="00665D97"/>
    <w:rsid w:val="00686FB6"/>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36DE"/>
    <w:rsid w:val="00906658"/>
    <w:rsid w:val="00907D10"/>
    <w:rsid w:val="009300B1"/>
    <w:rsid w:val="00932406"/>
    <w:rsid w:val="0094425F"/>
    <w:rsid w:val="0094611C"/>
    <w:rsid w:val="00955A23"/>
    <w:rsid w:val="00960580"/>
    <w:rsid w:val="009613E0"/>
    <w:rsid w:val="00962BC8"/>
    <w:rsid w:val="00967CCE"/>
    <w:rsid w:val="0097417B"/>
    <w:rsid w:val="00974F64"/>
    <w:rsid w:val="009756AE"/>
    <w:rsid w:val="0097689A"/>
    <w:rsid w:val="00994F36"/>
    <w:rsid w:val="009959DD"/>
    <w:rsid w:val="009A2BD5"/>
    <w:rsid w:val="009B071D"/>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4F01"/>
    <w:rsid w:val="00A474D2"/>
    <w:rsid w:val="00A47D7A"/>
    <w:rsid w:val="00A53A8F"/>
    <w:rsid w:val="00A5488C"/>
    <w:rsid w:val="00A61EC4"/>
    <w:rsid w:val="00A67D90"/>
    <w:rsid w:val="00A903E6"/>
    <w:rsid w:val="00A921BF"/>
    <w:rsid w:val="00AA5888"/>
    <w:rsid w:val="00AC6152"/>
    <w:rsid w:val="00AE225F"/>
    <w:rsid w:val="00AE2710"/>
    <w:rsid w:val="00AE5221"/>
    <w:rsid w:val="00B062F9"/>
    <w:rsid w:val="00B11762"/>
    <w:rsid w:val="00B15447"/>
    <w:rsid w:val="00B15620"/>
    <w:rsid w:val="00B161E4"/>
    <w:rsid w:val="00B33098"/>
    <w:rsid w:val="00B37614"/>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B24FF"/>
    <w:rsid w:val="00CC7564"/>
    <w:rsid w:val="00CD36E5"/>
    <w:rsid w:val="00CD4709"/>
    <w:rsid w:val="00D01CAE"/>
    <w:rsid w:val="00D04DB6"/>
    <w:rsid w:val="00D1016B"/>
    <w:rsid w:val="00D2072F"/>
    <w:rsid w:val="00D22C50"/>
    <w:rsid w:val="00D25D56"/>
    <w:rsid w:val="00D3030C"/>
    <w:rsid w:val="00D32FEC"/>
    <w:rsid w:val="00D402BC"/>
    <w:rsid w:val="00D5495F"/>
    <w:rsid w:val="00D63F4A"/>
    <w:rsid w:val="00D6405C"/>
    <w:rsid w:val="00D6554D"/>
    <w:rsid w:val="00D86941"/>
    <w:rsid w:val="00D9122F"/>
    <w:rsid w:val="00D9458F"/>
    <w:rsid w:val="00DA177F"/>
    <w:rsid w:val="00DA6B38"/>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3837"/>
    <w:rsid w:val="00F0564F"/>
    <w:rsid w:val="00F05A2E"/>
    <w:rsid w:val="00F0627B"/>
    <w:rsid w:val="00F07D88"/>
    <w:rsid w:val="00F305D6"/>
    <w:rsid w:val="00F36FDC"/>
    <w:rsid w:val="00F40D12"/>
    <w:rsid w:val="00F459FC"/>
    <w:rsid w:val="00F4713B"/>
    <w:rsid w:val="00F530CA"/>
    <w:rsid w:val="00F55CFA"/>
    <w:rsid w:val="00F609D4"/>
    <w:rsid w:val="00F650D7"/>
    <w:rsid w:val="00F728ED"/>
    <w:rsid w:val="00F77851"/>
    <w:rsid w:val="00FA550E"/>
    <w:rsid w:val="00FB4F8A"/>
    <w:rsid w:val="00FC2AA4"/>
    <w:rsid w:val="00FC3355"/>
    <w:rsid w:val="00FE0922"/>
    <w:rsid w:val="00FF2A45"/>
    <w:rsid w:val="00FF497A"/>
    <w:rsid w:val="08266353"/>
    <w:rsid w:val="1B0250DA"/>
    <w:rsid w:val="3B7F0870"/>
    <w:rsid w:val="3D3F9A54"/>
    <w:rsid w:val="4FEC48B8"/>
    <w:rsid w:val="5FFD53BE"/>
    <w:rsid w:val="6FCF7E52"/>
    <w:rsid w:val="773311DF"/>
    <w:rsid w:val="7757504B"/>
    <w:rsid w:val="79FBCCEB"/>
    <w:rsid w:val="7B9FF5F6"/>
    <w:rsid w:val="7D7ECC08"/>
    <w:rsid w:val="7DFC679F"/>
    <w:rsid w:val="9FD2739E"/>
    <w:rsid w:val="AFD67407"/>
    <w:rsid w:val="AFFF2104"/>
    <w:rsid w:val="DF8E45E9"/>
    <w:rsid w:val="F9F71056"/>
    <w:rsid w:val="FEF1BE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qFormat="1"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uiPriority w:val="99"/>
    <w:pPr>
      <w:jc w:val="left"/>
    </w:pPr>
    <w:rPr>
      <w:rFonts w:ascii="宋体" w:hAnsiTheme="minorHAnsi" w:cstheme="minorBidi"/>
      <w:sz w:val="24"/>
      <w:szCs w:val="21"/>
    </w:rPr>
  </w:style>
  <w:style w:type="paragraph" w:styleId="15">
    <w:name w:val="Body Text"/>
    <w:basedOn w:val="1"/>
    <w:link w:val="67"/>
    <w:semiHidden/>
    <w:unhideWhenUsed/>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uiPriority w:val="39"/>
    <w:pPr>
      <w:jc w:val="left"/>
    </w:pPr>
    <w:rPr>
      <w:rFonts w:ascii="宋体" w:hAnsiTheme="minorHAnsi" w:cstheme="minorBidi"/>
      <w:sz w:val="24"/>
      <w:szCs w:val="21"/>
    </w:rPr>
  </w:style>
  <w:style w:type="paragraph" w:styleId="26">
    <w:name w:val="toc 4"/>
    <w:basedOn w:val="1"/>
    <w:next w:val="1"/>
    <w:unhideWhenUsed/>
    <w:uiPriority w:val="39"/>
    <w:pPr>
      <w:ind w:left="1260" w:leftChars="600"/>
    </w:pPr>
    <w:rPr>
      <w:rFonts w:asciiTheme="minorHAnsi" w:hAnsiTheme="minorHAnsi" w:eastAsiaTheme="minorEastAsia" w:cstheme="minorBidi"/>
      <w:sz w:val="24"/>
    </w:rPr>
  </w:style>
  <w:style w:type="paragraph" w:styleId="27">
    <w:name w:val="toc 6"/>
    <w:basedOn w:val="1"/>
    <w:next w:val="1"/>
    <w:unhideWhenUsed/>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文本首行缩进 字符"/>
    <w:basedOn w:val="67"/>
    <w:link w:val="36"/>
    <w:semiHidden/>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表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文本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Company>china</Company>
  <Pages>9</Pages>
  <Words>590</Words>
  <Characters>3369</Characters>
  <Lines>28</Lines>
  <Paragraphs>7</Paragraphs>
  <TotalTime>38</TotalTime>
  <ScaleCrop>false</ScaleCrop>
  <LinksUpToDate>false</LinksUpToDate>
  <CharactersWithSpaces>3952</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2023-08-12T17:12:00Z</dcterms:created>
  <dc:creator>何耀德</dc:creator>
  <cp:lastModifiedBy>sunsun</cp:lastModifiedBy>
  <cp:lastPrinted>2022-08-20T16:48:00Z</cp:lastPrinted>
  <dcterms:modified xsi:type="dcterms:W3CDTF">2025-04-02T17:18:51Z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