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3" w:line="224" w:lineRule="auto"/>
        <w:jc w:val="center"/>
        <w:outlineLvl w:val="1"/>
        <w:rPr>
          <w:rFonts w:hint="eastAsia" w:ascii="黑体" w:hAnsi="黑体" w:eastAsia="黑体" w:cs="黑体"/>
          <w:spacing w:val="11"/>
          <w:sz w:val="28"/>
          <w:szCs w:val="28"/>
          <w:lang w:val="en-US" w:eastAsia="zh-CN"/>
        </w:rPr>
      </w:pPr>
      <w:r>
        <w:rPr>
          <w:rFonts w:hint="eastAsia" w:ascii="黑体" w:hAnsi="黑体" w:eastAsia="黑体" w:cs="黑体"/>
          <w:spacing w:val="11"/>
          <w:sz w:val="28"/>
          <w:szCs w:val="28"/>
          <w:lang w:val="en-US" w:eastAsia="zh-CN"/>
        </w:rPr>
        <w:t>广州市番禺区第七人民医院污水处理运营管理相关服务项目</w:t>
      </w:r>
    </w:p>
    <w:p>
      <w:pPr>
        <w:pStyle w:val="2"/>
        <w:spacing w:before="43" w:line="224" w:lineRule="auto"/>
        <w:jc w:val="center"/>
        <w:outlineLvl w:val="1"/>
        <w:rPr>
          <w:rFonts w:hint="eastAsia" w:ascii="黑体" w:hAnsi="黑体" w:eastAsia="黑体" w:cs="黑体"/>
          <w:sz w:val="28"/>
          <w:szCs w:val="28"/>
        </w:rPr>
      </w:pPr>
      <w:r>
        <w:rPr>
          <w:rFonts w:hint="eastAsia" w:ascii="黑体" w:hAnsi="黑体" w:eastAsia="黑体" w:cs="黑体"/>
          <w:spacing w:val="11"/>
          <w:sz w:val="28"/>
          <w:szCs w:val="28"/>
          <w:lang w:val="en-US" w:eastAsia="zh-CN"/>
        </w:rPr>
        <w:t>采购</w:t>
      </w:r>
      <w:r>
        <w:rPr>
          <w:rFonts w:hint="eastAsia" w:ascii="黑体" w:hAnsi="黑体" w:eastAsia="黑体" w:cs="黑体"/>
          <w:spacing w:val="11"/>
          <w:sz w:val="28"/>
          <w:szCs w:val="28"/>
        </w:rPr>
        <w:t>需求</w:t>
      </w:r>
    </w:p>
    <w:p>
      <w:pPr>
        <w:spacing w:line="275" w:lineRule="auto"/>
        <w:rPr>
          <w:rFonts w:ascii="Arial"/>
          <w:sz w:val="21"/>
        </w:rPr>
      </w:pPr>
    </w:p>
    <w:p>
      <w:pPr>
        <w:spacing w:line="276" w:lineRule="auto"/>
        <w:rPr>
          <w:rFonts w:ascii="Arial"/>
          <w:sz w:val="21"/>
        </w:rPr>
      </w:pP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after="120" w:line="360" w:lineRule="auto"/>
        <w:ind w:left="0" w:firstLine="600" w:firstLineChars="200"/>
        <w:textAlignment w:val="baseline"/>
        <w:outlineLvl w:val="1"/>
        <w:rPr>
          <w:rFonts w:hint="eastAsia" w:ascii="黑体" w:hAnsi="黑体" w:eastAsia="黑体" w:cs="黑体"/>
          <w:spacing w:val="10"/>
          <w:sz w:val="28"/>
          <w:szCs w:val="28"/>
        </w:rPr>
      </w:pPr>
      <w:r>
        <w:rPr>
          <w:rFonts w:hint="eastAsia" w:ascii="黑体" w:hAnsi="黑体" w:eastAsia="黑体" w:cs="黑体"/>
          <w:spacing w:val="10"/>
          <w:sz w:val="28"/>
          <w:szCs w:val="28"/>
        </w:rPr>
        <w:t>项目概况：</w:t>
      </w:r>
    </w:p>
    <w:tbl>
      <w:tblPr>
        <w:tblStyle w:val="7"/>
        <w:tblpPr w:leftFromText="180" w:rightFromText="180" w:vertAnchor="text" w:horzAnchor="margin" w:tblpXSpec="center" w:tblpY="71"/>
        <w:tblW w:w="7196" w:type="dxa"/>
        <w:tblInd w:w="0" w:type="dxa"/>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417"/>
        <w:gridCol w:w="1276"/>
        <w:gridCol w:w="992"/>
        <w:gridCol w:w="1276"/>
        <w:gridCol w:w="709"/>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34"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992"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主管科室</w:t>
            </w:r>
          </w:p>
        </w:tc>
        <w:tc>
          <w:tcPr>
            <w:tcW w:w="1417"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服务名称</w:t>
            </w:r>
          </w:p>
        </w:tc>
        <w:tc>
          <w:tcPr>
            <w:tcW w:w="1276"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预算单价</w:t>
            </w:r>
            <w:r>
              <w:rPr>
                <w:rFonts w:hint="eastAsia" w:ascii="宋体" w:hAnsi="宋体" w:eastAsia="宋体" w:cs="宋体"/>
                <w:b/>
                <w:color w:val="000000"/>
                <w:szCs w:val="21"/>
              </w:rPr>
              <w:t>（万元）</w:t>
            </w:r>
          </w:p>
        </w:tc>
        <w:tc>
          <w:tcPr>
            <w:tcW w:w="992"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1276"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预算金额（万元）</w:t>
            </w:r>
          </w:p>
        </w:tc>
        <w:tc>
          <w:tcPr>
            <w:tcW w:w="709"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备注</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34" w:type="dxa"/>
            <w:vAlign w:val="center"/>
          </w:tcPr>
          <w:p>
            <w:pPr>
              <w:widowControl/>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w:t>
            </w:r>
          </w:p>
        </w:tc>
        <w:tc>
          <w:tcPr>
            <w:tcW w:w="992" w:type="dxa"/>
            <w:vAlign w:val="center"/>
          </w:tcPr>
          <w:p>
            <w:pPr>
              <w:widowControl/>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后勤保障科</w:t>
            </w:r>
          </w:p>
        </w:tc>
        <w:tc>
          <w:tcPr>
            <w:tcW w:w="1417" w:type="dxa"/>
            <w:vAlign w:val="center"/>
          </w:tcPr>
          <w:p>
            <w:pPr>
              <w:widowControl/>
              <w:jc w:val="center"/>
              <w:textAlignment w:val="center"/>
              <w:rPr>
                <w:rFonts w:hint="default" w:ascii="宋体" w:hAnsi="宋体" w:eastAsia="宋体" w:cs="宋体"/>
                <w:color w:val="000000"/>
                <w:kern w:val="0"/>
                <w:szCs w:val="21"/>
                <w:lang w:val="en-US" w:bidi="ar"/>
              </w:rPr>
            </w:pPr>
            <w:r>
              <w:rPr>
                <w:rFonts w:hint="eastAsia" w:ascii="宋体" w:hAnsi="宋体" w:eastAsia="宋体" w:cs="宋体"/>
                <w:color w:val="000000"/>
                <w:kern w:val="0"/>
                <w:szCs w:val="21"/>
                <w:lang w:val="en-US" w:eastAsia="zh-CN" w:bidi="ar"/>
              </w:rPr>
              <w:t>广州市番禺区第七人民医院污水处理运营管理相关服务项目</w:t>
            </w:r>
          </w:p>
        </w:tc>
        <w:tc>
          <w:tcPr>
            <w:tcW w:w="1276" w:type="dxa"/>
            <w:vAlign w:val="center"/>
          </w:tcPr>
          <w:p>
            <w:pPr>
              <w:widowControl/>
              <w:jc w:val="center"/>
              <w:textAlignment w:val="center"/>
              <w:rPr>
                <w:rFonts w:hint="default" w:ascii="宋体" w:hAnsi="宋体" w:eastAsia="宋体" w:cs="宋体"/>
                <w:color w:val="000000"/>
                <w:kern w:val="0"/>
                <w:szCs w:val="21"/>
                <w:lang w:eastAsia="zh-CN" w:bidi="ar"/>
              </w:rPr>
            </w:pPr>
            <w:r>
              <w:rPr>
                <w:rFonts w:hint="default" w:ascii="宋体" w:hAnsi="宋体" w:eastAsia="宋体" w:cs="宋体"/>
                <w:color w:val="000000"/>
                <w:kern w:val="0"/>
                <w:szCs w:val="21"/>
                <w:lang w:eastAsia="zh-CN" w:bidi="ar"/>
              </w:rPr>
              <w:t>25</w:t>
            </w:r>
          </w:p>
        </w:tc>
        <w:tc>
          <w:tcPr>
            <w:tcW w:w="992" w:type="dxa"/>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276" w:type="dxa"/>
            <w:vAlign w:val="center"/>
          </w:tcPr>
          <w:p>
            <w:pPr>
              <w:widowControl/>
              <w:jc w:val="center"/>
              <w:textAlignment w:val="center"/>
              <w:rPr>
                <w:rFonts w:hint="default" w:ascii="宋体" w:hAnsi="宋体" w:eastAsia="宋体" w:cs="宋体"/>
                <w:color w:val="000000"/>
                <w:kern w:val="0"/>
                <w:szCs w:val="21"/>
                <w:lang w:eastAsia="zh-CN" w:bidi="ar"/>
              </w:rPr>
            </w:pPr>
            <w:r>
              <w:rPr>
                <w:rFonts w:hint="default" w:ascii="宋体" w:hAnsi="宋体" w:eastAsia="宋体" w:cs="宋体"/>
                <w:color w:val="000000"/>
                <w:kern w:val="0"/>
                <w:szCs w:val="21"/>
                <w:lang w:eastAsia="zh-CN" w:bidi="ar"/>
              </w:rPr>
              <w:t>25</w:t>
            </w:r>
          </w:p>
        </w:tc>
        <w:tc>
          <w:tcPr>
            <w:tcW w:w="709" w:type="dxa"/>
            <w:tcBorders>
              <w:right w:val="single" w:color="auto" w:sz="4" w:space="0"/>
            </w:tcBorders>
            <w:vAlign w:val="center"/>
          </w:tcPr>
          <w:p>
            <w:pPr>
              <w:jc w:val="center"/>
              <w:rPr>
                <w:rFonts w:ascii="宋体" w:hAnsi="宋体" w:eastAsia="宋体" w:cs="宋体"/>
                <w:bCs/>
                <w:color w:val="000000"/>
                <w:szCs w:val="21"/>
              </w:rPr>
            </w:pPr>
          </w:p>
        </w:tc>
      </w:tr>
    </w:tbl>
    <w:p>
      <w:pPr>
        <w:pStyle w:val="3"/>
        <w:numPr>
          <w:ilvl w:val="0"/>
          <w:numId w:val="0"/>
        </w:numPr>
        <w:rPr>
          <w:rFonts w:hint="eastAsia"/>
        </w:rPr>
      </w:pPr>
    </w:p>
    <w:p>
      <w:pPr>
        <w:pStyle w:val="13"/>
        <w:keepNext w:val="0"/>
        <w:keepLines w:val="0"/>
        <w:pageBreakBefore w:val="0"/>
        <w:numPr>
          <w:ilvl w:val="0"/>
          <w:numId w:val="3"/>
        </w:numPr>
        <w:tabs>
          <w:tab w:val="clear" w:pos="851"/>
        </w:tabs>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default" w:eastAsia="宋体"/>
          <w:lang w:val="en-US" w:eastAsia="zh-CN"/>
        </w:rPr>
      </w:pPr>
      <w:r>
        <w:rPr>
          <w:rFonts w:hint="eastAsia" w:hAnsi="宋体"/>
          <w:b/>
          <w:bCs/>
          <w:color w:val="000000" w:themeColor="text1"/>
          <w:sz w:val="24"/>
          <w:szCs w:val="24"/>
          <w:lang w:val="en-US" w:eastAsia="zh-CN"/>
          <w14:textFill>
            <w14:solidFill>
              <w14:schemeClr w14:val="tx1"/>
            </w14:solidFill>
          </w14:textFill>
        </w:rPr>
        <w:t>项目背景</w:t>
      </w:r>
      <w:r>
        <w:rPr>
          <w:rFonts w:hint="eastAsia" w:hAnsi="宋体"/>
          <w:color w:val="000000" w:themeColor="text1"/>
          <w:sz w:val="24"/>
          <w:szCs w:val="24"/>
          <w:lang w:val="en-US" w:eastAsia="zh-CN"/>
          <w14:textFill>
            <w14:solidFill>
              <w14:schemeClr w14:val="tx1"/>
            </w14:solidFill>
          </w14:textFill>
        </w:rPr>
        <w:t>：</w:t>
      </w:r>
    </w:p>
    <w:p>
      <w:pPr>
        <w:pStyle w:val="13"/>
        <w:keepNext w:val="0"/>
        <w:keepLines w:val="0"/>
        <w:pageBreakBefore w:val="0"/>
        <w:widowControl w:val="0"/>
        <w:numPr>
          <w:ilvl w:val="2"/>
          <w:numId w:val="0"/>
        </w:numPr>
        <w:tabs>
          <w:tab w:val="clear" w:pos="851"/>
        </w:tabs>
        <w:kinsoku/>
        <w:wordWrap/>
        <w:overflowPunct/>
        <w:topLinePunct w:val="0"/>
        <w:autoSpaceDE w:val="0"/>
        <w:autoSpaceDN w:val="0"/>
        <w:bidi w:val="0"/>
        <w:adjustRightInd w:val="0"/>
        <w:snapToGrid w:val="0"/>
        <w:spacing w:line="360" w:lineRule="auto"/>
        <w:ind w:leftChars="0" w:firstLine="480" w:firstLineChars="200"/>
        <w:textAlignment w:val="auto"/>
        <w:outlineLvl w:val="9"/>
        <w:rPr>
          <w:rFonts w:ascii="宋体" w:hAnsi="宋体" w:eastAsia="宋体" w:cs="宋体"/>
          <w:sz w:val="24"/>
          <w:szCs w:val="24"/>
        </w:rPr>
      </w:pPr>
      <w:r>
        <w:rPr>
          <w:rFonts w:hint="eastAsia" w:hAnsi="宋体" w:cs="宋体"/>
          <w:sz w:val="24"/>
          <w:szCs w:val="24"/>
          <w:u w:val="none"/>
          <w:lang w:val="en-US" w:eastAsia="zh-CN"/>
        </w:rPr>
        <w:t>广州市番禺区第七人民医院（以下简称东院区）</w:t>
      </w:r>
      <w:r>
        <w:rPr>
          <w:rFonts w:hint="eastAsia" w:hAnsi="宋体" w:cs="宋体"/>
          <w:color w:val="000000" w:themeColor="text1"/>
          <w:sz w:val="24"/>
          <w:szCs w:val="24"/>
          <w14:textFill>
            <w14:solidFill>
              <w14:schemeClr w14:val="tx1"/>
            </w14:solidFill>
          </w14:textFill>
        </w:rPr>
        <w:t>用地面积</w:t>
      </w:r>
      <w:r>
        <w:rPr>
          <w:rFonts w:hAnsi="宋体" w:cs="宋体"/>
          <w:color w:val="000000" w:themeColor="text1"/>
          <w:sz w:val="24"/>
          <w:szCs w:val="24"/>
          <w14:textFill>
            <w14:solidFill>
              <w14:schemeClr w14:val="tx1"/>
            </w14:solidFill>
          </w14:textFill>
        </w:rPr>
        <w:t>22078.5平方米，总建筑面积29786平方米，核定床位数200张</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污水处理站处理能力300</w:t>
      </w:r>
      <w:r>
        <w:rPr>
          <w:rFonts w:ascii="宋体" w:hAnsi="宋体" w:eastAsia="宋体" w:cs="宋体"/>
          <w:color w:val="000000" w:themeColor="text1"/>
          <w:sz w:val="24"/>
          <w:szCs w:val="24"/>
          <w14:textFill>
            <w14:solidFill>
              <w14:schemeClr w14:val="tx1"/>
            </w14:solidFill>
          </w14:textFill>
        </w:rPr>
        <w:t>t/d</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实际处理量约160</w:t>
      </w:r>
      <w:r>
        <w:rPr>
          <w:rFonts w:ascii="宋体" w:hAnsi="宋体" w:eastAsia="宋体" w:cs="宋体"/>
          <w:color w:val="000000" w:themeColor="text1"/>
          <w:sz w:val="24"/>
          <w:szCs w:val="24"/>
          <w14:textFill>
            <w14:solidFill>
              <w14:schemeClr w14:val="tx1"/>
            </w14:solidFill>
          </w14:textFill>
        </w:rPr>
        <w:t>t/d</w:t>
      </w:r>
      <w:r>
        <w:rPr>
          <w:rFonts w:hint="eastAsia" w:hAnsi="宋体" w:cs="宋体"/>
          <w:color w:val="000000" w:themeColor="text1"/>
          <w:sz w:val="24"/>
          <w:szCs w:val="24"/>
          <w:lang w:eastAsia="zh-CN"/>
          <w14:textFill>
            <w14:solidFill>
              <w14:schemeClr w14:val="tx1"/>
            </w14:solidFill>
          </w14:textFill>
        </w:rPr>
        <w:t>。</w:t>
      </w:r>
    </w:p>
    <w:p>
      <w:pPr>
        <w:pStyle w:val="13"/>
        <w:keepNext w:val="0"/>
        <w:keepLines w:val="0"/>
        <w:pageBreakBefore w:val="0"/>
        <w:widowControl w:val="0"/>
        <w:numPr>
          <w:ilvl w:val="0"/>
          <w:numId w:val="3"/>
        </w:numPr>
        <w:tabs>
          <w:tab w:val="clear" w:pos="851"/>
        </w:tabs>
        <w:kinsoku/>
        <w:wordWrap/>
        <w:overflowPunct/>
        <w:topLinePunct w:val="0"/>
        <w:autoSpaceDE w:val="0"/>
        <w:autoSpaceDN w:val="0"/>
        <w:bidi w:val="0"/>
        <w:adjustRightInd w:val="0"/>
        <w:snapToGrid w:val="0"/>
        <w:spacing w:before="120" w:after="120" w:line="360" w:lineRule="auto"/>
        <w:ind w:left="0" w:firstLine="480" w:firstLineChars="200"/>
        <w:textAlignment w:val="auto"/>
        <w:outlineLvl w:val="9"/>
        <w:rPr>
          <w:rFonts w:hint="eastAsia"/>
        </w:rPr>
      </w:pPr>
      <w:r>
        <w:rPr>
          <w:rFonts w:hint="eastAsia" w:hAnsi="宋体" w:cs="宋体"/>
          <w:b/>
          <w:bCs/>
          <w:sz w:val="24"/>
          <w:szCs w:val="24"/>
          <w:lang w:val="en-US" w:eastAsia="zh-CN"/>
        </w:rPr>
        <w:t>本</w:t>
      </w:r>
      <w:r>
        <w:rPr>
          <w:rFonts w:hint="eastAsia" w:ascii="宋体" w:hAnsi="宋体" w:cs="宋体"/>
          <w:b/>
          <w:bCs/>
          <w:sz w:val="24"/>
          <w:szCs w:val="24"/>
          <w:lang w:val="en-US" w:eastAsia="zh-CN"/>
        </w:rPr>
        <w:t>项目目标</w:t>
      </w:r>
      <w:r>
        <w:rPr>
          <w:rFonts w:hint="eastAsia" w:hAnsi="宋体" w:cs="宋体"/>
          <w:b/>
          <w:bCs/>
          <w:sz w:val="24"/>
          <w:szCs w:val="24"/>
          <w:lang w:val="en-US" w:eastAsia="zh-CN"/>
        </w:rPr>
        <w:t>包括以下内容</w:t>
      </w:r>
      <w:r>
        <w:rPr>
          <w:rFonts w:hint="eastAsia" w:ascii="宋体" w:hAnsi="宋体" w:cs="宋体"/>
          <w:sz w:val="24"/>
          <w:szCs w:val="24"/>
          <w:lang w:val="en-US" w:eastAsia="zh-CN"/>
        </w:rPr>
        <w:t>：</w:t>
      </w:r>
    </w:p>
    <w:p>
      <w:pPr>
        <w:pStyle w:val="13"/>
        <w:keepNext w:val="0"/>
        <w:keepLines w:val="0"/>
        <w:pageBreakBefore w:val="0"/>
        <w:widowControl w:val="0"/>
        <w:numPr>
          <w:ilvl w:val="0"/>
          <w:numId w:val="4"/>
        </w:numPr>
        <w:tabs>
          <w:tab w:val="clear" w:pos="851"/>
        </w:tabs>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b/>
          <w:bCs/>
          <w:sz w:val="24"/>
          <w:szCs w:val="24"/>
        </w:rPr>
      </w:pPr>
      <w:r>
        <w:rPr>
          <w:rFonts w:hint="eastAsia" w:hAnsi="宋体" w:cs="宋体"/>
          <w:b/>
          <w:bCs/>
          <w:sz w:val="24"/>
          <w:szCs w:val="24"/>
          <w:lang w:val="en-US" w:eastAsia="zh-CN"/>
        </w:rPr>
        <w:t>东院区一个污水处理站点的污水处理运营管理、在线监测、水质废气检测服务：</w:t>
      </w:r>
    </w:p>
    <w:p>
      <w:pPr>
        <w:pStyle w:val="13"/>
        <w:keepNext w:val="0"/>
        <w:keepLines w:val="0"/>
        <w:pageBreakBefore w:val="0"/>
        <w:widowControl w:val="0"/>
        <w:numPr>
          <w:ilvl w:val="0"/>
          <w:numId w:val="5"/>
        </w:numPr>
        <w:tabs>
          <w:tab w:val="clear" w:pos="851"/>
        </w:tabs>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hAnsi="宋体" w:cs="宋体"/>
          <w:sz w:val="24"/>
          <w:szCs w:val="24"/>
          <w:u w:val="single"/>
          <w:lang w:val="en-US" w:eastAsia="zh-CN"/>
        </w:rPr>
        <w:t>污水处理站12个月</w:t>
      </w:r>
      <w:r>
        <w:rPr>
          <w:rFonts w:hint="eastAsia" w:ascii="宋体" w:hAnsi="宋体" w:cs="宋体"/>
          <w:sz w:val="24"/>
          <w:szCs w:val="24"/>
          <w:lang w:val="en-US" w:eastAsia="zh-CN"/>
        </w:rPr>
        <w:t>的</w:t>
      </w:r>
      <w:r>
        <w:rPr>
          <w:rFonts w:hint="eastAsia" w:hAnsi="宋体" w:cs="宋体"/>
          <w:sz w:val="24"/>
          <w:szCs w:val="24"/>
          <w:lang w:val="en-US" w:eastAsia="zh-CN"/>
        </w:rPr>
        <w:t>日常运营、投药、设备运行维护等工作，</w:t>
      </w:r>
      <w:r>
        <w:rPr>
          <w:rFonts w:hint="eastAsia" w:ascii="宋体" w:hAnsi="宋体" w:cs="宋体"/>
          <w:sz w:val="24"/>
          <w:szCs w:val="24"/>
        </w:rPr>
        <w:t>确保</w:t>
      </w:r>
      <w:r>
        <w:rPr>
          <w:rFonts w:hint="eastAsia" w:hAnsi="宋体" w:cs="宋体"/>
          <w:sz w:val="24"/>
          <w:szCs w:val="24"/>
          <w:lang w:val="en-US" w:eastAsia="zh-CN"/>
        </w:rPr>
        <w:t>以上</w:t>
      </w:r>
      <w:r>
        <w:rPr>
          <w:rFonts w:hint="eastAsia" w:ascii="宋体" w:hAnsi="宋体" w:cs="宋体"/>
          <w:sz w:val="24"/>
          <w:szCs w:val="24"/>
        </w:rPr>
        <w:t>污水处理站系统设备正常运行和排放达标。</w:t>
      </w:r>
    </w:p>
    <w:p>
      <w:pPr>
        <w:pStyle w:val="13"/>
        <w:keepNext w:val="0"/>
        <w:keepLines w:val="0"/>
        <w:pageBreakBefore w:val="0"/>
        <w:widowControl w:val="0"/>
        <w:numPr>
          <w:ilvl w:val="0"/>
          <w:numId w:val="6"/>
        </w:numPr>
        <w:tabs>
          <w:tab w:val="clear" w:pos="851"/>
        </w:tabs>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hAnsi="宋体" w:cs="宋体"/>
          <w:sz w:val="24"/>
          <w:szCs w:val="24"/>
          <w:lang w:val="en-US" w:eastAsia="zh-CN"/>
        </w:rPr>
        <w:t>污水处理站水质</w:t>
      </w:r>
      <w:r>
        <w:rPr>
          <w:rFonts w:hint="default" w:hAnsi="宋体" w:cs="宋体"/>
          <w:sz w:val="24"/>
          <w:szCs w:val="24"/>
          <w:lang w:eastAsia="zh-CN"/>
        </w:rPr>
        <w:t>12个月</w:t>
      </w:r>
      <w:r>
        <w:rPr>
          <w:rFonts w:hint="eastAsia" w:hAnsi="宋体" w:cs="宋体"/>
          <w:sz w:val="24"/>
          <w:szCs w:val="24"/>
          <w:highlight w:val="yellow"/>
          <w:lang w:val="en-US" w:eastAsia="zh-CN"/>
        </w:rPr>
        <w:t>（包括但不限于COD、流量各项指标）</w:t>
      </w:r>
      <w:bookmarkStart w:id="0" w:name="_GoBack"/>
      <w:bookmarkEnd w:id="0"/>
      <w:r>
        <w:rPr>
          <w:rFonts w:hint="eastAsia" w:hAnsi="宋体" w:cs="宋体"/>
          <w:sz w:val="24"/>
          <w:szCs w:val="24"/>
          <w:highlight w:val="yellow"/>
          <w:lang w:val="en-US" w:eastAsia="zh-CN"/>
        </w:rPr>
        <w:t>的</w:t>
      </w:r>
      <w:r>
        <w:rPr>
          <w:rFonts w:hint="eastAsia" w:ascii="宋体" w:hAnsi="宋体" w:cs="宋体"/>
          <w:sz w:val="24"/>
          <w:szCs w:val="24"/>
          <w:highlight w:val="yellow"/>
          <w:lang w:val="en-US" w:eastAsia="zh-CN"/>
        </w:rPr>
        <w:t>在线监测</w:t>
      </w:r>
      <w:r>
        <w:rPr>
          <w:rFonts w:hint="eastAsia" w:hAnsi="宋体" w:cs="宋体"/>
          <w:sz w:val="24"/>
          <w:szCs w:val="24"/>
          <w:highlight w:val="yellow"/>
          <w:lang w:val="en-US" w:eastAsia="zh-CN"/>
        </w:rPr>
        <w:t>服务。</w:t>
      </w:r>
      <w:r>
        <w:rPr>
          <w:rFonts w:hint="eastAsia" w:ascii="宋体" w:hAnsi="宋体" w:eastAsia="宋体" w:cs="宋体"/>
          <w:sz w:val="24"/>
          <w:szCs w:val="24"/>
        </w:rPr>
        <w:t>主要工作内容包括</w:t>
      </w:r>
      <w:r>
        <w:rPr>
          <w:rFonts w:hint="eastAsia" w:ascii="宋体" w:hAnsi="宋体" w:cs="宋体"/>
          <w:i w:val="0"/>
          <w:iCs w:val="0"/>
          <w:caps w:val="0"/>
          <w:color w:val="000000"/>
          <w:spacing w:val="0"/>
          <w:sz w:val="24"/>
          <w:szCs w:val="24"/>
          <w:shd w:val="clear" w:fill="FFFFFF"/>
          <w:vertAlign w:val="baseline"/>
          <w:lang w:val="en-US" w:eastAsia="zh-CN"/>
        </w:rPr>
        <w:t>合同期内符合相关行业标准和要求，提供准确合格的在线监测服务；每周恒常巡检设备运行状况并记录，建立相应技术档案</w:t>
      </w:r>
      <w:r>
        <w:rPr>
          <w:rFonts w:hint="eastAsia" w:hAnsi="宋体" w:cs="宋体"/>
          <w:i w:val="0"/>
          <w:iCs w:val="0"/>
          <w:caps w:val="0"/>
          <w:color w:val="000000"/>
          <w:spacing w:val="0"/>
          <w:sz w:val="24"/>
          <w:szCs w:val="24"/>
          <w:shd w:val="clear" w:fill="FFFFFF"/>
          <w:vertAlign w:val="baseline"/>
          <w:lang w:val="en-US" w:eastAsia="zh-CN"/>
        </w:rPr>
        <w:t>。</w:t>
      </w:r>
    </w:p>
    <w:p>
      <w:pPr>
        <w:pStyle w:val="13"/>
        <w:keepNext w:val="0"/>
        <w:keepLines w:val="0"/>
        <w:pageBreakBefore w:val="0"/>
        <w:widowControl w:val="0"/>
        <w:numPr>
          <w:ilvl w:val="0"/>
          <w:numId w:val="7"/>
        </w:numPr>
        <w:tabs>
          <w:tab w:val="clear" w:pos="851"/>
        </w:tabs>
        <w:kinsoku/>
        <w:wordWrap/>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rPr>
      </w:pPr>
      <w:r>
        <w:rPr>
          <w:rFonts w:hint="eastAsia" w:hAnsi="宋体" w:cs="宋体"/>
          <w:sz w:val="24"/>
          <w:szCs w:val="24"/>
          <w:u w:val="single"/>
          <w:lang w:val="en-US" w:eastAsia="zh-CN"/>
        </w:rPr>
        <w:t>污水处理站12个月</w:t>
      </w:r>
      <w:r>
        <w:rPr>
          <w:rFonts w:hint="eastAsia" w:hAnsi="宋体" w:cs="宋体"/>
          <w:sz w:val="24"/>
          <w:szCs w:val="24"/>
          <w:u w:val="none"/>
          <w:lang w:val="en-US" w:eastAsia="zh-CN"/>
        </w:rPr>
        <w:t>的</w:t>
      </w:r>
      <w:r>
        <w:rPr>
          <w:rFonts w:hint="eastAsia" w:hAnsi="宋体" w:cs="宋体"/>
          <w:sz w:val="24"/>
          <w:szCs w:val="24"/>
          <w:lang w:val="en-US" w:eastAsia="zh-CN"/>
        </w:rPr>
        <w:t>污水废水废气</w:t>
      </w:r>
      <w:r>
        <w:rPr>
          <w:rFonts w:hint="default" w:ascii="宋体" w:hAnsi="宋体" w:eastAsia="宋体" w:cs="宋体"/>
          <w:sz w:val="24"/>
          <w:szCs w:val="24"/>
          <w:lang w:val="en-US" w:eastAsia="zh-CN"/>
        </w:rPr>
        <w:t>实行科学有效的定期监测，符合环境保护要求和污染物排放标准，维护良好生态环境，</w:t>
      </w:r>
      <w:r>
        <w:rPr>
          <w:rFonts w:hint="eastAsia" w:hAnsi="宋体" w:cs="宋体"/>
          <w:sz w:val="24"/>
          <w:szCs w:val="24"/>
          <w:lang w:val="en-US" w:eastAsia="zh-CN"/>
        </w:rPr>
        <w:t>由有相关行业资质的检测机构</w:t>
      </w:r>
      <w:r>
        <w:rPr>
          <w:rFonts w:hint="eastAsia" w:ascii="宋体" w:hAnsi="宋体" w:cs="宋体"/>
          <w:sz w:val="24"/>
          <w:szCs w:val="24"/>
          <w:lang w:val="en-US" w:eastAsia="zh-CN"/>
        </w:rPr>
        <w:t>及时提交检测报告</w:t>
      </w:r>
      <w:r>
        <w:rPr>
          <w:rFonts w:hint="default" w:ascii="宋体" w:hAnsi="宋体" w:eastAsia="宋体" w:cs="宋体"/>
          <w:sz w:val="24"/>
          <w:szCs w:val="24"/>
          <w:lang w:val="en-US" w:eastAsia="zh-CN"/>
        </w:rPr>
        <w:t>。</w:t>
      </w:r>
    </w:p>
    <w:p>
      <w:pPr>
        <w:pStyle w:val="16"/>
        <w:keepNext w:val="0"/>
        <w:keepLines w:val="0"/>
        <w:pageBreakBefore w:val="0"/>
        <w:widowControl/>
        <w:numPr>
          <w:ilvl w:val="0"/>
          <w:numId w:val="8"/>
        </w:numPr>
        <w:tabs>
          <w:tab w:val="left" w:pos="709"/>
        </w:tabs>
        <w:kinsoku w:val="0"/>
        <w:wordWrap/>
        <w:overflowPunct/>
        <w:topLinePunct w:val="0"/>
        <w:autoSpaceDE w:val="0"/>
        <w:autoSpaceDN w:val="0"/>
        <w:bidi w:val="0"/>
        <w:adjustRightInd w:val="0"/>
        <w:snapToGrid w:val="0"/>
        <w:spacing w:line="360" w:lineRule="auto"/>
        <w:ind w:left="0" w:leftChars="0" w:firstLine="420" w:firstLineChars="0"/>
        <w:textAlignment w:val="baseline"/>
        <w:rPr>
          <w:rFonts w:hint="eastAsia" w:ascii="黑体" w:hAnsi="黑体" w:eastAsia="黑体" w:cs="黑体"/>
          <w:sz w:val="28"/>
          <w:szCs w:val="28"/>
        </w:rPr>
      </w:pPr>
      <w:r>
        <w:rPr>
          <w:rFonts w:hint="eastAsia" w:ascii="黑体" w:hAnsi="黑体" w:eastAsia="黑体" w:cs="黑体"/>
          <w:sz w:val="28"/>
          <w:szCs w:val="28"/>
        </w:rPr>
        <w:t>报价范围的定义</w:t>
      </w:r>
    </w:p>
    <w:p>
      <w:pPr>
        <w:pStyle w:val="15"/>
        <w:numPr>
          <w:ilvl w:val="0"/>
          <w:numId w:val="0"/>
        </w:numPr>
        <w:spacing w:line="360" w:lineRule="auto"/>
        <w:ind w:left="420" w:leftChars="0"/>
        <w:rPr>
          <w:rFonts w:hint="eastAsia" w:ascii="宋体" w:hAnsi="宋体" w:eastAsia="宋体" w:cs="宋体"/>
          <w:sz w:val="24"/>
          <w:szCs w:val="24"/>
          <w:lang w:val="en-US" w:eastAsia="zh-CN"/>
        </w:rPr>
      </w:pPr>
    </w:p>
    <w:p/>
    <w:p>
      <w:pPr>
        <w:pStyle w:val="16"/>
        <w:keepNext w:val="0"/>
        <w:keepLines w:val="0"/>
        <w:pageBreakBefore w:val="0"/>
        <w:widowControl/>
        <w:numPr>
          <w:ilvl w:val="0"/>
          <w:numId w:val="9"/>
        </w:numPr>
        <w:tabs>
          <w:tab w:val="left" w:pos="709"/>
        </w:tabs>
        <w:kinsoku w:val="0"/>
        <w:wordWrap/>
        <w:overflowPunct/>
        <w:topLinePunct w:val="0"/>
        <w:autoSpaceDE w:val="0"/>
        <w:autoSpaceDN w:val="0"/>
        <w:bidi w:val="0"/>
        <w:adjustRightInd w:val="0"/>
        <w:snapToGrid w:val="0"/>
        <w:spacing w:line="360" w:lineRule="auto"/>
        <w:ind w:left="0" w:leftChars="0" w:firstLine="420" w:firstLineChars="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东院区项目报价</w:t>
      </w:r>
    </w:p>
    <w:p>
      <w:pPr>
        <w:pStyle w:val="15"/>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80" w:firstLineChars="200"/>
        <w:textAlignment w:val="auto"/>
      </w:pPr>
      <w:r>
        <w:rPr>
          <w:rFonts w:hint="eastAsia" w:ascii="宋体" w:hAnsi="宋体" w:cs="宋体"/>
          <w:sz w:val="24"/>
          <w:szCs w:val="24"/>
        </w:rPr>
        <w:t>本项目费用已包含</w:t>
      </w:r>
      <w:r>
        <w:rPr>
          <w:rFonts w:hint="eastAsia" w:ascii="宋体" w:hAnsi="宋体" w:cs="宋体"/>
          <w:sz w:val="24"/>
          <w:szCs w:val="24"/>
          <w:u w:val="single"/>
          <w:lang w:val="en-US" w:eastAsia="zh-CN"/>
        </w:rPr>
        <w:t>东院区</w:t>
      </w:r>
      <w:r>
        <w:rPr>
          <w:rFonts w:hint="eastAsia" w:ascii="宋体" w:hAnsi="宋体" w:cs="宋体"/>
          <w:sz w:val="24"/>
          <w:szCs w:val="24"/>
        </w:rPr>
        <w:t>服务期限内所有费用，包括但不限于污水处理消毒药剂</w:t>
      </w:r>
      <w:r>
        <w:rPr>
          <w:rFonts w:ascii="宋体" w:hAnsi="宋体" w:cs="宋体"/>
          <w:sz w:val="24"/>
          <w:szCs w:val="24"/>
        </w:rPr>
        <w:t>（要求为非危化品消毒药剂）、消毒药剂投放设备</w:t>
      </w:r>
      <w:r>
        <w:rPr>
          <w:rFonts w:hint="eastAsia" w:ascii="宋体" w:hAnsi="宋体" w:cs="宋体"/>
          <w:sz w:val="24"/>
          <w:szCs w:val="24"/>
        </w:rPr>
        <w:t>、人员成本、工具物料、设备维修维护、</w:t>
      </w:r>
      <w:r>
        <w:rPr>
          <w:rFonts w:hint="eastAsia" w:ascii="宋体" w:hAnsi="宋体" w:cs="宋体"/>
          <w:sz w:val="24"/>
          <w:szCs w:val="24"/>
          <w:lang w:val="en-US" w:eastAsia="zh-CN"/>
        </w:rPr>
        <w:t>单价</w:t>
      </w:r>
      <w:r>
        <w:rPr>
          <w:rFonts w:ascii="宋体" w:hAnsi="宋体" w:cs="宋体"/>
          <w:sz w:val="24"/>
          <w:szCs w:val="24"/>
        </w:rPr>
        <w:t>400元以下零配件更换、污水站内标识更换、</w:t>
      </w:r>
      <w:r>
        <w:rPr>
          <w:rFonts w:hint="eastAsia" w:ascii="宋体" w:hAnsi="宋体" w:cs="宋体"/>
          <w:sz w:val="24"/>
          <w:szCs w:val="24"/>
        </w:rPr>
        <w:t>合理利润、税费、</w:t>
      </w:r>
      <w:r>
        <w:rPr>
          <w:rFonts w:hint="eastAsia" w:ascii="宋体" w:hAnsi="宋体" w:cs="宋体"/>
          <w:sz w:val="24"/>
          <w:szCs w:val="24"/>
          <w:lang w:val="en-US" w:eastAsia="zh-CN"/>
        </w:rPr>
        <w:t>废气除臭活性炭的更换及废旧活性炭的处理（需通过有处理资质的公司处理）、</w:t>
      </w:r>
      <w:r>
        <w:rPr>
          <w:rFonts w:hint="eastAsia" w:ascii="宋体" w:hAnsi="宋体" w:cs="宋体"/>
          <w:sz w:val="24"/>
          <w:szCs w:val="24"/>
        </w:rPr>
        <w:t>不可预见的其他突发事件应急费用及合同实施过程中不可预见费用等。服务期内如遇政府调整企业人员最低工资标准、</w:t>
      </w:r>
      <w:r>
        <w:rPr>
          <w:rFonts w:ascii="宋体" w:hAnsi="宋体" w:cs="宋体"/>
          <w:sz w:val="24"/>
          <w:szCs w:val="24"/>
        </w:rPr>
        <w:t>社会保险</w:t>
      </w:r>
      <w:r>
        <w:rPr>
          <w:rFonts w:hint="eastAsia" w:ascii="宋体" w:hAnsi="宋体" w:cs="宋体"/>
          <w:sz w:val="24"/>
          <w:szCs w:val="24"/>
        </w:rPr>
        <w:t>等费用，本项目不做调整，请投标人做好风险评估。</w:t>
      </w:r>
    </w:p>
    <w:p>
      <w:pPr>
        <w:pStyle w:val="15"/>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1891" w:firstLineChars="900"/>
        <w:textAlignment w:val="auto"/>
        <w:rPr>
          <w:rFonts w:hint="eastAsia" w:ascii="宋体" w:hAnsi="宋体" w:eastAsia="宋体" w:cs="宋体"/>
          <w:color w:val="FF0000"/>
          <w:sz w:val="24"/>
          <w:szCs w:val="24"/>
        </w:rPr>
      </w:pPr>
      <w:r>
        <w:rPr>
          <w:rFonts w:hint="eastAsia" w:ascii="等线" w:hAnsi="等线" w:eastAsia="等线" w:cs="等线"/>
          <w:b/>
          <w:bCs/>
          <w:sz w:val="21"/>
          <w:szCs w:val="21"/>
          <w:lang w:val="en-US" w:eastAsia="zh-CN"/>
        </w:rPr>
        <w:t>东院区污水站运营及药剂报价清单表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2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128" w:type="dxa"/>
            <w:tcBorders>
              <w:tl2br w:val="single" w:color="auto" w:sz="4" w:space="0"/>
            </w:tcBorders>
          </w:tcPr>
          <w:p>
            <w:pPr>
              <w:pStyle w:val="15"/>
              <w:keepNext w:val="0"/>
              <w:keepLines w:val="0"/>
              <w:pageBreakBefore w:val="0"/>
              <w:kinsoku/>
              <w:wordWrap/>
              <w:overflowPunct/>
              <w:topLinePunct w:val="0"/>
              <w:autoSpaceDE/>
              <w:autoSpaceDN/>
              <w:bidi w:val="0"/>
              <w:adjustRightInd/>
              <w:snapToGrid/>
              <w:spacing w:line="360" w:lineRule="auto"/>
              <w:ind w:left="899" w:leftChars="228" w:hanging="420" w:hangingChars="20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报价</w:t>
            </w:r>
          </w:p>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cs="宋体"/>
                <w:sz w:val="21"/>
                <w:szCs w:val="21"/>
                <w:vertAlign w:val="baseline"/>
                <w:lang w:val="en-US" w:eastAsia="zh-CN"/>
              </w:rPr>
            </w:pPr>
          </w:p>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费用项目</w:t>
            </w:r>
          </w:p>
        </w:tc>
        <w:tc>
          <w:tcPr>
            <w:tcW w:w="2129" w:type="dxa"/>
            <w:vAlign w:val="center"/>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总价（元）</w:t>
            </w:r>
          </w:p>
        </w:tc>
        <w:tc>
          <w:tcPr>
            <w:tcW w:w="2130" w:type="dxa"/>
            <w:vAlign w:val="center"/>
          </w:tcPr>
          <w:p>
            <w:pPr>
              <w:pStyle w:val="15"/>
              <w:keepNext w:val="0"/>
              <w:keepLines w:val="0"/>
              <w:pageBreakBefore w:val="0"/>
              <w:kinsoku/>
              <w:wordWrap/>
              <w:overflowPunct/>
              <w:topLinePunct w:val="0"/>
              <w:autoSpaceDE/>
              <w:autoSpaceDN/>
              <w:bidi w:val="0"/>
              <w:adjustRightInd/>
              <w:snapToGrid/>
              <w:spacing w:line="360" w:lineRule="auto"/>
              <w:ind w:firstLine="840" w:firstLineChars="400"/>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污水站管理运营（包括人力支出、设备维修等）</w:t>
            </w:r>
          </w:p>
        </w:tc>
        <w:tc>
          <w:tcPr>
            <w:tcW w:w="2129"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c>
          <w:tcPr>
            <w:tcW w:w="2130"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28"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药剂费用</w:t>
            </w:r>
          </w:p>
        </w:tc>
        <w:tc>
          <w:tcPr>
            <w:tcW w:w="2129"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c>
          <w:tcPr>
            <w:tcW w:w="2130"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28"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其它工具物料及单个单价400元以下配件</w:t>
            </w:r>
          </w:p>
        </w:tc>
        <w:tc>
          <w:tcPr>
            <w:tcW w:w="2129"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c>
          <w:tcPr>
            <w:tcW w:w="2130"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28"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sz w:val="21"/>
                <w:szCs w:val="21"/>
                <w:vertAlign w:val="baseline"/>
                <w:lang w:val="en-US" w:eastAsia="zh-CN"/>
              </w:rPr>
            </w:pPr>
            <w:r>
              <w:rPr>
                <w:rFonts w:hint="eastAsia" w:ascii="宋体" w:hAnsi="宋体" w:cs="宋体"/>
                <w:b/>
                <w:bCs/>
                <w:sz w:val="21"/>
                <w:szCs w:val="21"/>
                <w:vertAlign w:val="baseline"/>
                <w:lang w:val="en-US" w:eastAsia="zh-CN"/>
              </w:rPr>
              <w:t>合计</w:t>
            </w:r>
          </w:p>
        </w:tc>
        <w:tc>
          <w:tcPr>
            <w:tcW w:w="2129"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c>
          <w:tcPr>
            <w:tcW w:w="2130"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r>
    </w:tbl>
    <w:p>
      <w:pPr>
        <w:pStyle w:val="15"/>
        <w:numPr>
          <w:ilvl w:val="0"/>
          <w:numId w:val="0"/>
        </w:numPr>
        <w:spacing w:line="360" w:lineRule="auto"/>
        <w:ind w:left="420" w:leftChars="0"/>
        <w:rPr>
          <w:rFonts w:hint="eastAsia" w:ascii="宋体" w:hAnsi="宋体" w:eastAsia="宋体" w:cs="宋体"/>
          <w:color w:val="FF0000"/>
          <w:sz w:val="24"/>
          <w:szCs w:val="24"/>
        </w:rPr>
      </w:pPr>
    </w:p>
    <w:p>
      <w:pPr>
        <w:pStyle w:val="15"/>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2.费用包括</w:t>
      </w:r>
      <w:r>
        <w:rPr>
          <w:rFonts w:hint="eastAsia" w:ascii="宋体" w:hAnsi="宋体" w:cs="宋体"/>
          <w:sz w:val="24"/>
          <w:szCs w:val="24"/>
          <w:u w:val="single"/>
          <w:lang w:val="en-US" w:eastAsia="zh-CN"/>
        </w:rPr>
        <w:t>东院区</w:t>
      </w:r>
      <w:r>
        <w:rPr>
          <w:rFonts w:hint="eastAsia" w:ascii="宋体" w:hAnsi="宋体" w:eastAsia="宋体" w:cs="宋体"/>
          <w:sz w:val="24"/>
          <w:szCs w:val="24"/>
          <w:lang w:val="en-US" w:eastAsia="zh-CN"/>
        </w:rPr>
        <w:t>污水监测仪器设备投入、</w:t>
      </w:r>
      <w:r>
        <w:rPr>
          <w:rFonts w:hint="eastAsia" w:ascii="宋体" w:hAnsi="宋体" w:eastAsia="宋体" w:cs="宋体"/>
          <w:sz w:val="24"/>
          <w:szCs w:val="24"/>
        </w:rPr>
        <w:t>维护费及药剂费用、标液费用、设备配件更换</w:t>
      </w:r>
      <w:r>
        <w:rPr>
          <w:rFonts w:hint="eastAsia" w:ascii="宋体" w:hAnsi="宋体" w:eastAsia="宋体" w:cs="宋体"/>
          <w:sz w:val="24"/>
          <w:szCs w:val="24"/>
          <w:lang w:eastAsia="zh-CN"/>
        </w:rPr>
        <w:t>、人员成本、工具物料</w:t>
      </w:r>
      <w:r>
        <w:rPr>
          <w:rFonts w:hint="eastAsia" w:ascii="宋体" w:hAnsi="宋体" w:cs="宋体"/>
          <w:sz w:val="24"/>
          <w:szCs w:val="24"/>
          <w:lang w:eastAsia="zh-CN"/>
        </w:rPr>
        <w:t>、</w:t>
      </w:r>
      <w:r>
        <w:rPr>
          <w:rFonts w:hint="eastAsia" w:ascii="宋体" w:hAnsi="宋体" w:cs="宋体"/>
          <w:sz w:val="24"/>
          <w:szCs w:val="24"/>
          <w:highlight w:val="yellow"/>
          <w:lang w:eastAsia="zh-CN"/>
        </w:rPr>
        <w:t>仪器设备校准</w:t>
      </w:r>
      <w:r>
        <w:rPr>
          <w:rFonts w:hint="eastAsia" w:ascii="宋体" w:hAnsi="宋体" w:eastAsia="宋体" w:cs="宋体"/>
          <w:sz w:val="24"/>
          <w:szCs w:val="24"/>
          <w:lang w:val="en-US" w:eastAsia="zh-CN"/>
        </w:rPr>
        <w:t>等费用</w:t>
      </w:r>
      <w:r>
        <w:rPr>
          <w:rFonts w:hint="eastAsia" w:ascii="宋体" w:hAnsi="宋体" w:cs="宋体"/>
          <w:sz w:val="24"/>
          <w:szCs w:val="24"/>
          <w:lang w:val="en-US" w:eastAsia="zh-CN"/>
        </w:rPr>
        <w:t>。</w:t>
      </w:r>
      <w:r>
        <w:rPr>
          <w:rFonts w:hint="eastAsia" w:ascii="宋体" w:hAnsi="宋体" w:eastAsia="宋体" w:cs="宋体"/>
          <w:sz w:val="24"/>
          <w:szCs w:val="24"/>
        </w:rPr>
        <w:t>不可预见的其他突发事件应急费用及合同实施过程中不可预见费用等。服务期内如遇政府调整企业人员最低工资标准、社会保险等费用，本项目不做调整，请投标人做好风险评估。</w:t>
      </w:r>
    </w:p>
    <w:p>
      <w:pPr>
        <w:pStyle w:val="15"/>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东院区污水站点在线监测报价清单表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2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128" w:type="dxa"/>
            <w:tcBorders>
              <w:tl2br w:val="single" w:color="auto" w:sz="4" w:space="0"/>
            </w:tcBorders>
          </w:tcPr>
          <w:p>
            <w:pPr>
              <w:pStyle w:val="15"/>
              <w:keepNext w:val="0"/>
              <w:keepLines w:val="0"/>
              <w:pageBreakBefore w:val="0"/>
              <w:kinsoku/>
              <w:wordWrap/>
              <w:overflowPunct/>
              <w:topLinePunct w:val="0"/>
              <w:autoSpaceDE/>
              <w:autoSpaceDN/>
              <w:bidi w:val="0"/>
              <w:adjustRightInd/>
              <w:snapToGrid/>
              <w:spacing w:line="360" w:lineRule="auto"/>
              <w:ind w:left="899" w:leftChars="228" w:hanging="420" w:hangingChars="20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报价</w:t>
            </w:r>
          </w:p>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cs="宋体"/>
                <w:sz w:val="21"/>
                <w:szCs w:val="21"/>
                <w:vertAlign w:val="baseline"/>
                <w:lang w:val="en-US" w:eastAsia="zh-CN"/>
              </w:rPr>
            </w:pPr>
          </w:p>
          <w:p>
            <w:pPr>
              <w:pStyle w:val="1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费用项目</w:t>
            </w:r>
          </w:p>
        </w:tc>
        <w:tc>
          <w:tcPr>
            <w:tcW w:w="2129" w:type="dxa"/>
            <w:vAlign w:val="center"/>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总价（元）</w:t>
            </w:r>
          </w:p>
        </w:tc>
        <w:tc>
          <w:tcPr>
            <w:tcW w:w="2130" w:type="dxa"/>
            <w:vAlign w:val="center"/>
          </w:tcPr>
          <w:p>
            <w:pPr>
              <w:pStyle w:val="15"/>
              <w:keepNext w:val="0"/>
              <w:keepLines w:val="0"/>
              <w:pageBreakBefore w:val="0"/>
              <w:kinsoku/>
              <w:wordWrap/>
              <w:overflowPunct/>
              <w:topLinePunct w:val="0"/>
              <w:autoSpaceDE/>
              <w:autoSpaceDN/>
              <w:bidi w:val="0"/>
              <w:adjustRightInd/>
              <w:snapToGrid/>
              <w:spacing w:line="360" w:lineRule="auto"/>
              <w:ind w:firstLine="840" w:firstLineChars="400"/>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设备费用（设备投入、维护、校准）</w:t>
            </w:r>
          </w:p>
        </w:tc>
        <w:tc>
          <w:tcPr>
            <w:tcW w:w="2129"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c>
          <w:tcPr>
            <w:tcW w:w="2130"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28"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ind w:firstLine="630" w:firstLineChars="300"/>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药剂费用</w:t>
            </w:r>
          </w:p>
        </w:tc>
        <w:tc>
          <w:tcPr>
            <w:tcW w:w="2129"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c>
          <w:tcPr>
            <w:tcW w:w="2130"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28"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ind w:firstLine="630" w:firstLineChars="300"/>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人员成本</w:t>
            </w:r>
          </w:p>
        </w:tc>
        <w:tc>
          <w:tcPr>
            <w:tcW w:w="2129"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c>
          <w:tcPr>
            <w:tcW w:w="2130"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28"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ind w:left="0" w:leftChars="0" w:firstLine="420" w:firstLineChars="200"/>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其它工具物料</w:t>
            </w:r>
          </w:p>
        </w:tc>
        <w:tc>
          <w:tcPr>
            <w:tcW w:w="2129"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c>
          <w:tcPr>
            <w:tcW w:w="2130"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28"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合计</w:t>
            </w:r>
          </w:p>
        </w:tc>
        <w:tc>
          <w:tcPr>
            <w:tcW w:w="2129"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c>
          <w:tcPr>
            <w:tcW w:w="2130" w:type="dxa"/>
          </w:tcPr>
          <w:p>
            <w:pPr>
              <w:pStyle w:val="1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r>
    </w:tbl>
    <w:p>
      <w:pPr>
        <w:pStyle w:val="15"/>
        <w:numPr>
          <w:ilvl w:val="0"/>
          <w:numId w:val="0"/>
        </w:numPr>
        <w:spacing w:line="360" w:lineRule="auto"/>
        <w:ind w:left="420" w:leftChars="0"/>
        <w:rPr>
          <w:rFonts w:hint="eastAsia" w:ascii="宋体" w:hAnsi="宋体" w:eastAsia="宋体" w:cs="宋体"/>
          <w:color w:val="FF0000"/>
          <w:sz w:val="24"/>
          <w:szCs w:val="24"/>
        </w:rPr>
      </w:pPr>
    </w:p>
    <w:p>
      <w:pPr>
        <w:pStyle w:val="15"/>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b w:val="0"/>
          <w:sz w:val="24"/>
          <w:szCs w:val="24"/>
        </w:rPr>
      </w:pPr>
      <w:r>
        <w:rPr>
          <w:rFonts w:hint="eastAsia" w:ascii="宋体" w:hAnsi="宋体" w:cs="宋体"/>
          <w:sz w:val="24"/>
          <w:szCs w:val="24"/>
          <w:lang w:val="en-US" w:eastAsia="zh-CN"/>
        </w:rPr>
        <w:t>3.费用包括</w:t>
      </w:r>
      <w:r>
        <w:rPr>
          <w:rFonts w:hint="eastAsia" w:ascii="宋体" w:hAnsi="宋体" w:cs="宋体"/>
          <w:sz w:val="24"/>
          <w:szCs w:val="24"/>
          <w:u w:val="single"/>
          <w:lang w:val="en-US" w:eastAsia="zh-CN"/>
        </w:rPr>
        <w:t>东院区</w:t>
      </w:r>
      <w:r>
        <w:rPr>
          <w:rFonts w:hint="eastAsia" w:ascii="宋体" w:hAnsi="宋体" w:cs="宋体"/>
          <w:sz w:val="24"/>
          <w:szCs w:val="24"/>
          <w:lang w:val="en-US" w:eastAsia="zh-CN"/>
        </w:rPr>
        <w:t>污废水废气</w:t>
      </w:r>
      <w:r>
        <w:rPr>
          <w:b w:val="0"/>
          <w:sz w:val="24"/>
          <w:szCs w:val="24"/>
        </w:rPr>
        <w:t>现场采样费、交通费、税金、报告费等在项目实施过程中的全部费用，服务商报价中漏报、少报的费用，视为此项费用已隐含在响应报价中，成交后不得再向采购人收取任何增加费用。</w:t>
      </w:r>
    </w:p>
    <w:p>
      <w:pPr>
        <w:pStyle w:val="3"/>
        <w:ind w:firstLine="840" w:firstLineChars="400"/>
        <w:jc w:val="both"/>
        <w:rPr>
          <w:rFonts w:hint="eastAsia" w:ascii="等线" w:hAnsi="等线" w:eastAsia="等线" w:cs="等线"/>
          <w:b/>
          <w:bCs/>
          <w:color w:val="000000"/>
          <w:kern w:val="0"/>
          <w:sz w:val="21"/>
          <w:szCs w:val="21"/>
          <w:lang w:bidi="ar"/>
        </w:rPr>
      </w:pPr>
      <w:r>
        <w:rPr>
          <w:rFonts w:hint="eastAsia" w:ascii="等线" w:hAnsi="等线" w:eastAsia="等线" w:cs="等线"/>
          <w:b/>
          <w:bCs/>
          <w:sz w:val="21"/>
          <w:szCs w:val="21"/>
          <w:lang w:val="en-US" w:eastAsia="zh-CN"/>
        </w:rPr>
        <w:t>广州市番禺区第七人民医院（东院区）</w:t>
      </w:r>
      <w:r>
        <w:rPr>
          <w:rFonts w:hint="eastAsia" w:ascii="等线" w:hAnsi="等线" w:eastAsia="等线" w:cs="等线"/>
          <w:b/>
          <w:bCs/>
          <w:color w:val="000000"/>
          <w:kern w:val="0"/>
          <w:sz w:val="21"/>
          <w:szCs w:val="21"/>
          <w:lang w:bidi="ar"/>
        </w:rPr>
        <w:t>污水、废水、废气监测项目报价表</w:t>
      </w:r>
    </w:p>
    <w:tbl>
      <w:tblPr>
        <w:tblStyle w:val="7"/>
        <w:tblW w:w="7747" w:type="dxa"/>
        <w:jc w:val="center"/>
        <w:tblLayout w:type="autofit"/>
        <w:tblCellMar>
          <w:top w:w="0" w:type="dxa"/>
          <w:left w:w="108" w:type="dxa"/>
          <w:bottom w:w="0" w:type="dxa"/>
          <w:right w:w="108" w:type="dxa"/>
        </w:tblCellMar>
      </w:tblPr>
      <w:tblGrid>
        <w:gridCol w:w="995"/>
        <w:gridCol w:w="762"/>
        <w:gridCol w:w="1477"/>
        <w:gridCol w:w="838"/>
        <w:gridCol w:w="975"/>
        <w:gridCol w:w="958"/>
        <w:gridCol w:w="905"/>
        <w:gridCol w:w="837"/>
      </w:tblGrid>
      <w:tr>
        <w:tblPrEx>
          <w:tblCellMar>
            <w:top w:w="0" w:type="dxa"/>
            <w:left w:w="108" w:type="dxa"/>
            <w:bottom w:w="0" w:type="dxa"/>
            <w:right w:w="108" w:type="dxa"/>
          </w:tblCellMar>
        </w:tblPrEx>
        <w:trPr>
          <w:trHeight w:val="335" w:hRule="atLeast"/>
          <w:jc w:val="center"/>
        </w:trPr>
        <w:tc>
          <w:tcPr>
            <w:tcW w:w="7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委托单位：</w:t>
            </w:r>
            <w:r>
              <w:rPr>
                <w:rFonts w:ascii="宋体" w:hAnsi="宋体" w:eastAsia="宋体" w:cs="宋体"/>
                <w:color w:val="000000"/>
                <w:kern w:val="0"/>
                <w:sz w:val="18"/>
                <w:szCs w:val="18"/>
                <w:lang w:bidi="ar"/>
              </w:rPr>
              <w:t>广州市</w:t>
            </w:r>
            <w:r>
              <w:rPr>
                <w:rFonts w:hint="eastAsia" w:ascii="宋体" w:hAnsi="宋体" w:eastAsia="宋体" w:cs="宋体"/>
                <w:color w:val="000000"/>
                <w:kern w:val="0"/>
                <w:sz w:val="18"/>
                <w:szCs w:val="18"/>
                <w:lang w:bidi="ar"/>
              </w:rPr>
              <w:t>番禺区第七人民医院</w:t>
            </w:r>
          </w:p>
        </w:tc>
      </w:tr>
      <w:tr>
        <w:tblPrEx>
          <w:tblCellMar>
            <w:top w:w="0" w:type="dxa"/>
            <w:left w:w="108" w:type="dxa"/>
            <w:bottom w:w="0" w:type="dxa"/>
            <w:right w:w="108" w:type="dxa"/>
          </w:tblCellMar>
        </w:tblPrEx>
        <w:trPr>
          <w:trHeight w:val="298" w:hRule="atLeast"/>
          <w:jc w:val="center"/>
        </w:trPr>
        <w:tc>
          <w:tcPr>
            <w:tcW w:w="7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监测内容：污水、废水、废气（上门采样）监测</w:t>
            </w:r>
          </w:p>
        </w:tc>
      </w:tr>
      <w:tr>
        <w:tblPrEx>
          <w:tblCellMar>
            <w:top w:w="0" w:type="dxa"/>
            <w:left w:w="108" w:type="dxa"/>
            <w:bottom w:w="0" w:type="dxa"/>
            <w:right w:w="108" w:type="dxa"/>
          </w:tblCellMar>
        </w:tblPrEx>
        <w:trPr>
          <w:trHeight w:val="378" w:hRule="atLeast"/>
          <w:jc w:val="center"/>
        </w:trPr>
        <w:tc>
          <w:tcPr>
            <w:tcW w:w="7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污水监测点1个：番禺区第七人民医院污水站</w:t>
            </w:r>
          </w:p>
        </w:tc>
      </w:tr>
      <w:tr>
        <w:tblPrEx>
          <w:tblCellMar>
            <w:top w:w="0" w:type="dxa"/>
            <w:left w:w="108" w:type="dxa"/>
            <w:bottom w:w="0" w:type="dxa"/>
            <w:right w:w="108" w:type="dxa"/>
          </w:tblCellMar>
        </w:tblPrEx>
        <w:trPr>
          <w:trHeight w:val="298" w:hRule="atLeast"/>
          <w:jc w:val="center"/>
        </w:trPr>
        <w:tc>
          <w:tcPr>
            <w:tcW w:w="7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无组织废气监测点1个：污水站周界</w:t>
            </w:r>
          </w:p>
        </w:tc>
      </w:tr>
      <w:tr>
        <w:tblPrEx>
          <w:tblCellMar>
            <w:top w:w="0" w:type="dxa"/>
            <w:left w:w="108" w:type="dxa"/>
            <w:bottom w:w="0" w:type="dxa"/>
            <w:right w:w="108" w:type="dxa"/>
          </w:tblCellMar>
        </w:tblPrEx>
        <w:trPr>
          <w:trHeight w:val="407" w:hRule="atLeast"/>
          <w:jc w:val="center"/>
        </w:trPr>
        <w:tc>
          <w:tcPr>
            <w:tcW w:w="7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油烟监测点1个：油烟排放口</w:t>
            </w:r>
          </w:p>
        </w:tc>
      </w:tr>
      <w:tr>
        <w:tblPrEx>
          <w:tblCellMar>
            <w:top w:w="0" w:type="dxa"/>
            <w:left w:w="108" w:type="dxa"/>
            <w:bottom w:w="0" w:type="dxa"/>
            <w:right w:w="108" w:type="dxa"/>
          </w:tblCellMar>
        </w:tblPrEx>
        <w:trPr>
          <w:trHeight w:val="393" w:hRule="atLeast"/>
          <w:jc w:val="center"/>
        </w:trPr>
        <w:tc>
          <w:tcPr>
            <w:tcW w:w="7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有组织废气监测点1个：污水站废气排放口</w:t>
            </w:r>
          </w:p>
        </w:tc>
      </w:tr>
      <w:tr>
        <w:tblPrEx>
          <w:tblCellMar>
            <w:top w:w="0" w:type="dxa"/>
            <w:left w:w="108" w:type="dxa"/>
            <w:bottom w:w="0" w:type="dxa"/>
            <w:right w:w="108" w:type="dxa"/>
          </w:tblCellMar>
        </w:tblPrEx>
        <w:trPr>
          <w:trHeight w:val="537" w:hRule="atLeast"/>
          <w:jc w:val="center"/>
        </w:trPr>
        <w:tc>
          <w:tcPr>
            <w:tcW w:w="32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监测项目</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监测点数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监测次数</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单价</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小计</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备注</w:t>
            </w:r>
          </w:p>
        </w:tc>
      </w:tr>
      <w:tr>
        <w:tblPrEx>
          <w:tblCellMar>
            <w:top w:w="0" w:type="dxa"/>
            <w:left w:w="108" w:type="dxa"/>
            <w:bottom w:w="0" w:type="dxa"/>
            <w:right w:w="108" w:type="dxa"/>
          </w:tblCellMar>
        </w:tblPrEx>
        <w:trPr>
          <w:trHeight w:val="541" w:hRule="atLeast"/>
          <w:jc w:val="center"/>
        </w:trPr>
        <w:tc>
          <w:tcPr>
            <w:tcW w:w="32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Style w:val="19"/>
                <w:rFonts w:hint="default"/>
                <w:lang w:bidi="ar"/>
              </w:rPr>
              <w:t>（次</w:t>
            </w:r>
            <w:r>
              <w:rPr>
                <w:rStyle w:val="20"/>
                <w:rFonts w:eastAsia="宋体"/>
                <w:lang w:bidi="ar"/>
              </w:rPr>
              <w:t>/</w:t>
            </w:r>
            <w:r>
              <w:rPr>
                <w:rStyle w:val="19"/>
                <w:rFonts w:hint="default"/>
                <w:lang w:bidi="ar"/>
              </w:rPr>
              <w:t>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Style w:val="19"/>
                <w:rFonts w:hint="default"/>
                <w:lang w:bidi="ar"/>
              </w:rPr>
              <w:t>（元</w:t>
            </w:r>
            <w:r>
              <w:rPr>
                <w:rStyle w:val="20"/>
                <w:rFonts w:eastAsia="宋体"/>
                <w:lang w:bidi="ar"/>
              </w:rPr>
              <w:t>/</w:t>
            </w:r>
            <w:r>
              <w:rPr>
                <w:rStyle w:val="19"/>
                <w:rFonts w:hint="default"/>
                <w:lang w:bidi="ar"/>
              </w:rPr>
              <w:t>点</w:t>
            </w:r>
            <w:r>
              <w:rPr>
                <w:rStyle w:val="20"/>
                <w:rFonts w:eastAsia="宋体"/>
                <w:lang w:bidi="ar"/>
              </w:rPr>
              <w:t>/</w:t>
            </w:r>
            <w:r>
              <w:rPr>
                <w:rStyle w:val="19"/>
                <w:rFonts w:hint="default"/>
                <w:lang w:bidi="ar"/>
              </w:rPr>
              <w:t>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Style w:val="19"/>
                <w:rFonts w:hint="default"/>
                <w:lang w:bidi="ar"/>
              </w:rPr>
              <w:t>（元</w:t>
            </w:r>
            <w:r>
              <w:rPr>
                <w:rStyle w:val="20"/>
                <w:rFonts w:eastAsia="宋体"/>
                <w:lang w:bidi="ar"/>
              </w:rPr>
              <w:t>/</w:t>
            </w:r>
            <w:r>
              <w:rPr>
                <w:rStyle w:val="19"/>
                <w:rFonts w:hint="default"/>
                <w:lang w:bidi="ar"/>
              </w:rPr>
              <w:t>年）</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1046" w:hRule="atLeast"/>
          <w:jc w:val="center"/>
        </w:trPr>
        <w:tc>
          <w:tcPr>
            <w:tcW w:w="9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污水</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月监测</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粪大肠菌群</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12</w:t>
            </w:r>
            <w:r>
              <w:rPr>
                <w:rFonts w:hint="eastAsia" w:ascii="宋体" w:hAnsi="宋体" w:eastAsia="宋体" w:cs="宋体"/>
                <w:color w:val="000000"/>
                <w:kern w:val="0"/>
                <w:sz w:val="20"/>
                <w:szCs w:val="20"/>
                <w:lang w:bidi="ar"/>
              </w:rPr>
              <w:t>(1次/月，</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年共</w:t>
            </w:r>
            <w:r>
              <w:rPr>
                <w:rFonts w:hint="eastAsia" w:ascii="宋体" w:hAnsi="宋体" w:eastAsia="宋体" w:cs="宋体"/>
                <w:color w:val="000000"/>
                <w:kern w:val="0"/>
                <w:sz w:val="20"/>
                <w:szCs w:val="20"/>
                <w:lang w:val="en-US" w:eastAsia="zh-CN" w:bidi="ar"/>
              </w:rPr>
              <w:t>12</w:t>
            </w:r>
            <w:r>
              <w:rPr>
                <w:rFonts w:hint="eastAsia" w:ascii="宋体" w:hAnsi="宋体" w:eastAsia="宋体" w:cs="宋体"/>
                <w:color w:val="000000"/>
                <w:kern w:val="0"/>
                <w:sz w:val="20"/>
                <w:szCs w:val="20"/>
                <w:lang w:bidi="ar"/>
              </w:rPr>
              <w:t>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季监测</w:t>
            </w:r>
          </w:p>
        </w:tc>
        <w:tc>
          <w:tcPr>
            <w:tcW w:w="1477"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沙门氏菌</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（1次/季，</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年共</w:t>
            </w: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PH值</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化学需氧量</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悬浮物</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8"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五日生化需氧量</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37"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阴离子表面活性剂</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挥发酚</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总氰化物</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动植物油</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石油类</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总汞</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总铬</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六价铬</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总镉</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总砷</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总铅</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总银</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半年监测</w:t>
            </w: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志贺氏菌</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69"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年监测</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色度</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（1次/年，</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年共</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68"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氨氮</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p>
          <w:p>
            <w:pPr>
              <w:widowControl/>
              <w:jc w:val="center"/>
              <w:textAlignment w:val="center"/>
              <w:rPr>
                <w:rFonts w:hint="eastAsia"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无组织废气</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p>
          <w:p>
            <w:pPr>
              <w:widowControl/>
              <w:jc w:val="center"/>
              <w:textAlignment w:val="center"/>
              <w:rPr>
                <w:rFonts w:hint="eastAsia"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季监测</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臭气浓度</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（1次/季，1年共4次）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1"/>
                <w:szCs w:val="21"/>
                <w:highlight w:val="yellow"/>
                <w:lang w:val="en-US" w:eastAsia="zh-CN"/>
              </w:rPr>
              <w:t>每次采样完成4个风向点位的取样</w:t>
            </w:r>
          </w:p>
        </w:tc>
      </w:tr>
      <w:tr>
        <w:tblPrEx>
          <w:tblCellMar>
            <w:top w:w="0" w:type="dxa"/>
            <w:left w:w="108" w:type="dxa"/>
            <w:bottom w:w="0" w:type="dxa"/>
            <w:right w:w="108" w:type="dxa"/>
          </w:tblCellMar>
        </w:tblPrEx>
        <w:trPr>
          <w:trHeight w:val="419"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甲烷</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氨气</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氯气</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硫化氢</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46"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有组织废气</w:t>
            </w:r>
          </w:p>
        </w:tc>
        <w:tc>
          <w:tcPr>
            <w:tcW w:w="762"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季监测</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油烟</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（1次/季，1年共4次）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有组织废气</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季监测</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氨气</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（1次/季，1年共4次）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硫化氢</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9"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臭气浓度</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09" w:hRule="atLeast"/>
          <w:jc w:val="center"/>
        </w:trPr>
        <w:tc>
          <w:tcPr>
            <w:tcW w:w="60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 xml:space="preserve">                      监测费总计（元/年）</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p>
        </w:tc>
      </w:tr>
      <w:tr>
        <w:tblPrEx>
          <w:tblCellMar>
            <w:top w:w="0" w:type="dxa"/>
            <w:left w:w="108" w:type="dxa"/>
            <w:bottom w:w="0" w:type="dxa"/>
            <w:right w:w="108" w:type="dxa"/>
          </w:tblCellMar>
        </w:tblPrEx>
        <w:trPr>
          <w:trHeight w:val="419" w:hRule="atLeast"/>
          <w:jc w:val="center"/>
        </w:trPr>
        <w:tc>
          <w:tcPr>
            <w:tcW w:w="7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备注：1、因设备设施功能调整，具体监测点位以</w:t>
            </w:r>
            <w:r>
              <w:rPr>
                <w:rFonts w:hint="eastAsia" w:ascii="宋体" w:hAnsi="宋体" w:eastAsia="宋体" w:cs="宋体"/>
                <w:color w:val="000000"/>
                <w:kern w:val="0"/>
                <w:sz w:val="20"/>
                <w:szCs w:val="20"/>
                <w:lang w:val="en-US" w:eastAsia="zh-CN" w:bidi="ar"/>
              </w:rPr>
              <w:t>采购人</w:t>
            </w:r>
            <w:r>
              <w:rPr>
                <w:rFonts w:hint="eastAsia" w:ascii="宋体" w:hAnsi="宋体" w:eastAsia="宋体" w:cs="宋体"/>
                <w:color w:val="000000"/>
                <w:kern w:val="0"/>
                <w:sz w:val="20"/>
                <w:szCs w:val="20"/>
                <w:lang w:bidi="ar"/>
              </w:rPr>
              <w:t>通知为准。</w:t>
            </w:r>
          </w:p>
        </w:tc>
      </w:tr>
      <w:tr>
        <w:tblPrEx>
          <w:tblCellMar>
            <w:top w:w="0" w:type="dxa"/>
            <w:left w:w="108" w:type="dxa"/>
            <w:bottom w:w="0" w:type="dxa"/>
            <w:right w:w="108" w:type="dxa"/>
          </w:tblCellMar>
        </w:tblPrEx>
        <w:trPr>
          <w:trHeight w:val="419" w:hRule="atLeast"/>
          <w:jc w:val="center"/>
        </w:trPr>
        <w:tc>
          <w:tcPr>
            <w:tcW w:w="7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2、所提供的监测结果必须为医疗机构监管部门认可。</w:t>
            </w:r>
            <w:r>
              <w:rPr>
                <w:rFonts w:hint="eastAsia" w:ascii="宋体" w:hAnsi="宋体" w:eastAsia="宋体" w:cs="宋体"/>
                <w:color w:val="000000"/>
                <w:kern w:val="0"/>
                <w:sz w:val="20"/>
                <w:szCs w:val="20"/>
                <w:lang w:val="en-US" w:eastAsia="zh-CN" w:bidi="ar"/>
              </w:rPr>
              <w:t>污水废气检测机构</w:t>
            </w:r>
            <w:r>
              <w:rPr>
                <w:rFonts w:hint="eastAsia" w:ascii="宋体" w:hAnsi="宋体" w:eastAsia="宋体" w:cs="宋体"/>
                <w:color w:val="000000"/>
                <w:kern w:val="0"/>
                <w:sz w:val="20"/>
                <w:szCs w:val="20"/>
                <w:lang w:bidi="ar"/>
              </w:rPr>
              <w:t>具备省级或国家质量技术监督部门核发的CMA认证证书。营业执照具有医疗单位废水、废气监测资质，符合环保部门要求。</w:t>
            </w:r>
          </w:p>
        </w:tc>
      </w:tr>
      <w:tr>
        <w:tblPrEx>
          <w:tblCellMar>
            <w:top w:w="0" w:type="dxa"/>
            <w:left w:w="108" w:type="dxa"/>
            <w:bottom w:w="0" w:type="dxa"/>
            <w:right w:w="108" w:type="dxa"/>
          </w:tblCellMar>
        </w:tblPrEx>
        <w:trPr>
          <w:trHeight w:val="537" w:hRule="atLeast"/>
          <w:jc w:val="center"/>
        </w:trPr>
        <w:tc>
          <w:tcPr>
            <w:tcW w:w="7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3、报价包含现场采样费、交通费、税金、报告费等其他费用，具体以实际服务次数按季度进行结算，单价不作调整。</w:t>
            </w:r>
          </w:p>
        </w:tc>
      </w:tr>
      <w:tr>
        <w:tblPrEx>
          <w:tblCellMar>
            <w:top w:w="0" w:type="dxa"/>
            <w:left w:w="108" w:type="dxa"/>
            <w:bottom w:w="0" w:type="dxa"/>
            <w:right w:w="108" w:type="dxa"/>
          </w:tblCellMar>
        </w:tblPrEx>
        <w:trPr>
          <w:trHeight w:val="419" w:hRule="atLeast"/>
          <w:jc w:val="center"/>
        </w:trPr>
        <w:tc>
          <w:tcPr>
            <w:tcW w:w="7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4、废气监测，</w:t>
            </w:r>
            <w:r>
              <w:rPr>
                <w:rFonts w:hint="eastAsia" w:ascii="宋体" w:hAnsi="宋体" w:eastAsia="宋体" w:cs="宋体"/>
                <w:color w:val="000000"/>
                <w:kern w:val="0"/>
                <w:sz w:val="21"/>
                <w:szCs w:val="21"/>
                <w:lang w:val="en-US" w:eastAsia="zh-CN" w:bidi="ar"/>
              </w:rPr>
              <w:t>监测风向点位根据相关部门最新规定执行</w:t>
            </w:r>
            <w:r>
              <w:rPr>
                <w:rFonts w:hint="eastAsia" w:ascii="宋体" w:hAnsi="宋体" w:eastAsia="宋体" w:cs="宋体"/>
                <w:color w:val="000000"/>
                <w:kern w:val="0"/>
                <w:sz w:val="21"/>
                <w:szCs w:val="21"/>
                <w:lang w:bidi="ar"/>
              </w:rPr>
              <w:t>。</w:t>
            </w:r>
          </w:p>
        </w:tc>
      </w:tr>
      <w:tr>
        <w:tblPrEx>
          <w:tblCellMar>
            <w:top w:w="0" w:type="dxa"/>
            <w:left w:w="108" w:type="dxa"/>
            <w:bottom w:w="0" w:type="dxa"/>
            <w:right w:w="108" w:type="dxa"/>
          </w:tblCellMar>
        </w:tblPrEx>
        <w:trPr>
          <w:trHeight w:val="561" w:hRule="atLeast"/>
          <w:jc w:val="center"/>
        </w:trPr>
        <w:tc>
          <w:tcPr>
            <w:tcW w:w="7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5、报价方需（按委托方需要）</w:t>
            </w:r>
            <w:r>
              <w:rPr>
                <w:rFonts w:ascii="宋体" w:hAnsi="宋体" w:eastAsia="宋体" w:cs="宋体"/>
                <w:color w:val="000000"/>
                <w:kern w:val="0"/>
                <w:sz w:val="20"/>
                <w:szCs w:val="20"/>
                <w:lang w:bidi="ar"/>
              </w:rPr>
              <w:t>使用在校准有效期内</w:t>
            </w:r>
            <w:r>
              <w:rPr>
                <w:rFonts w:hint="eastAsia" w:ascii="宋体" w:hAnsi="宋体" w:eastAsia="宋体" w:cs="宋体"/>
                <w:color w:val="000000"/>
                <w:kern w:val="0"/>
                <w:sz w:val="20"/>
                <w:szCs w:val="20"/>
                <w:lang w:bidi="ar"/>
              </w:rPr>
              <w:t>监测设备（便携式比色计）、编制自行监测方案，服务费用不再单列。</w:t>
            </w:r>
          </w:p>
        </w:tc>
      </w:tr>
    </w:tbl>
    <w:p>
      <w:pPr>
        <w:pStyle w:val="15"/>
        <w:numPr>
          <w:ilvl w:val="0"/>
          <w:numId w:val="0"/>
        </w:numPr>
        <w:spacing w:line="360" w:lineRule="auto"/>
        <w:ind w:left="420" w:leftChars="0"/>
        <w:rPr>
          <w:rFonts w:ascii="Arial"/>
          <w:sz w:val="21"/>
        </w:rPr>
      </w:pPr>
    </w:p>
    <w:p>
      <w:pPr>
        <w:spacing w:line="257" w:lineRule="auto"/>
        <w:rPr>
          <w:rFonts w:ascii="Arial"/>
          <w:sz w:val="21"/>
        </w:rPr>
      </w:pPr>
    </w:p>
    <w:p>
      <w:pPr>
        <w:pStyle w:val="16"/>
        <w:keepNext w:val="0"/>
        <w:keepLines w:val="0"/>
        <w:pageBreakBefore w:val="0"/>
        <w:widowControl/>
        <w:numPr>
          <w:ilvl w:val="0"/>
          <w:numId w:val="8"/>
        </w:numPr>
        <w:tabs>
          <w:tab w:val="left" w:pos="709"/>
        </w:tabs>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黑体" w:hAnsi="黑体" w:eastAsia="黑体" w:cs="黑体"/>
          <w:sz w:val="28"/>
          <w:szCs w:val="28"/>
        </w:rPr>
      </w:pPr>
      <w:r>
        <w:rPr>
          <w:rFonts w:hint="eastAsia" w:ascii="黑体" w:hAnsi="黑体" w:eastAsia="黑体" w:cs="黑体"/>
          <w:sz w:val="28"/>
          <w:szCs w:val="28"/>
        </w:rPr>
        <w:t>资格要求及政策要求</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投标人应具备《中华人民共和国政府采购法》第二十二条规定的条件，提供下列材料：</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独立承担民事责任的能力：提供在中华人民共和国境内有效的执照（或证书）副本、组织机构代码证、税务登记证（国税、地税）复印件或三证合一证明文件复印件证明。分公司投标的，必须提供总公司的营业执照副本复印件及总公司针对本项目投标的授权书；如投标人为自然人的需提供自然人身份证明；</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有依法缴纳税收和社会保障资金的良好记录：投标函相关承诺要求内容</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具有良好的商业信誉和健全的财务会计制度：投标函相关承诺要求内容</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履行合同所必需的设备和专业技术能力：投标函相关承诺要求内容</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加采购活动前3年内，在经营活动中没有重大违法记录：参加政府采购活动前三年内，在经营活动中没有重大违法记录【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投标函相关承诺要求内容；</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采购包（</w:t>
      </w:r>
      <w:r>
        <w:rPr>
          <w:rFonts w:hint="eastAsia" w:ascii="宋体" w:hAnsi="宋体" w:eastAsia="宋体" w:cs="宋体"/>
          <w:sz w:val="24"/>
          <w:szCs w:val="24"/>
          <w:lang w:val="en-US" w:eastAsia="zh-CN"/>
        </w:rPr>
        <w:t>广州市番禺区第七人民医院污水处理运营管理、在线监测、水质废气检测服务</w:t>
      </w:r>
      <w:r>
        <w:rPr>
          <w:rFonts w:hint="eastAsia" w:ascii="宋体" w:hAnsi="宋体" w:eastAsia="宋体" w:cs="宋体"/>
          <w:sz w:val="24"/>
          <w:szCs w:val="24"/>
        </w:rPr>
        <w:t>）：本项目属于专门面向中小企业采购的项目，属于《政府采购促进中小企业发展管理办法》第六条第二款第（三）项情形。本项目的企业划分标准所属行业为：其他未列明行业。</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本项目特定的资格要求：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不得同时参加本采购项目（包组）投标。为本项目提供整体设计、规范编制或者项目管理、监理、检测等服务的供应商，不得再参与本项目投标。（投标函相关承诺要求内容）</w:t>
      </w:r>
      <w:r>
        <w:rPr>
          <w:rFonts w:hint="eastAsia" w:ascii="宋体" w:hAnsi="宋体" w:eastAsia="宋体" w:cs="宋体"/>
          <w:sz w:val="24"/>
          <w:szCs w:val="24"/>
          <w:lang w:eastAsia="zh-CN"/>
        </w:rPr>
        <w:t>；</w:t>
      </w:r>
      <w:r>
        <w:rPr>
          <w:rFonts w:hint="eastAsia" w:ascii="宋体" w:hAnsi="宋体" w:eastAsia="宋体" w:cs="宋体"/>
          <w:sz w:val="24"/>
          <w:szCs w:val="24"/>
        </w:rPr>
        <w:t>（2）供应商未被列入失信被执行人、重大税收违法案件当事人名单、政府采购严重违法失信行为记录名单及其他不符合规定条件的供应商【以采购代理机构在投标截止日当天在“信用中国”网站（www.creditchina.gov.cn）及中国政府采购网(www.ccgp.gov.cn)查询结果为准，注：若供应商为分支机构的，同时对该分支机构所属总公司（总所）进行信用记录查询，该分支机构所属总公司(总所）存在不良信用记录的，视同供应商存在不良信用记录。】；（3）本项目不接受联合体投标。（4）供应商必须符合法律、行政法规规定的其他条件，（投标函相关承诺要求内容）。</w:t>
      </w:r>
    </w:p>
    <w:p>
      <w:pPr>
        <w:pStyle w:val="16"/>
        <w:keepNext w:val="0"/>
        <w:keepLines w:val="0"/>
        <w:pageBreakBefore w:val="0"/>
        <w:widowControl/>
        <w:numPr>
          <w:ilvl w:val="0"/>
          <w:numId w:val="8"/>
        </w:numPr>
        <w:tabs>
          <w:tab w:val="left" w:pos="709"/>
        </w:tabs>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黑体" w:hAnsi="黑体" w:eastAsia="黑体" w:cs="黑体"/>
          <w:sz w:val="28"/>
          <w:szCs w:val="28"/>
        </w:rPr>
      </w:pPr>
      <w:r>
        <w:rPr>
          <w:rFonts w:hint="eastAsia" w:ascii="黑体" w:hAnsi="黑体" w:eastAsia="黑体" w:cs="黑体"/>
          <w:sz w:val="28"/>
          <w:szCs w:val="28"/>
        </w:rPr>
        <w:t>是否面向中小企业或小微企业</w:t>
      </w:r>
    </w:p>
    <w:p>
      <w:pPr>
        <w:pStyle w:val="16"/>
        <w:keepNext w:val="0"/>
        <w:keepLines w:val="0"/>
        <w:pageBreakBefore w:val="0"/>
        <w:widowControl/>
        <w:numPr>
          <w:ilvl w:val="0"/>
          <w:numId w:val="0"/>
        </w:numPr>
        <w:tabs>
          <w:tab w:val="left" w:pos="709"/>
        </w:tabs>
        <w:kinsoku w:val="0"/>
        <w:wordWrap/>
        <w:overflowPunct/>
        <w:topLinePunct w:val="0"/>
        <w:autoSpaceDE w:val="0"/>
        <w:autoSpaceDN w:val="0"/>
        <w:bidi w:val="0"/>
        <w:adjustRightInd w:val="0"/>
        <w:snapToGrid w:val="0"/>
        <w:spacing w:line="360" w:lineRule="auto"/>
        <w:ind w:leftChars="0" w:firstLine="480" w:firstLineChars="200"/>
        <w:textAlignment w:val="baseline"/>
        <w:rPr>
          <w:rFonts w:hint="eastAsia" w:ascii="宋体" w:hAnsi="宋体" w:eastAsia="宋体"/>
          <w:sz w:val="24"/>
          <w:szCs w:val="24"/>
          <w:lang w:val="en-US" w:eastAsia="zh-CN"/>
        </w:rPr>
      </w:pPr>
      <w:r>
        <w:rPr>
          <w:rFonts w:hint="eastAsia" w:ascii="宋体" w:hAnsi="宋体" w:eastAsia="宋体"/>
          <w:sz w:val="24"/>
          <w:szCs w:val="24"/>
          <w:lang w:val="en-US" w:eastAsia="zh-CN"/>
        </w:rPr>
        <w:t>是</w:t>
      </w:r>
    </w:p>
    <w:p>
      <w:pPr>
        <w:pStyle w:val="16"/>
        <w:keepNext w:val="0"/>
        <w:keepLines w:val="0"/>
        <w:pageBreakBefore w:val="0"/>
        <w:widowControl/>
        <w:numPr>
          <w:ilvl w:val="0"/>
          <w:numId w:val="8"/>
        </w:numPr>
        <w:tabs>
          <w:tab w:val="left" w:pos="709"/>
        </w:tabs>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黑体" w:hAnsi="黑体" w:eastAsia="黑体" w:cs="黑体"/>
          <w:sz w:val="28"/>
          <w:szCs w:val="28"/>
        </w:rPr>
      </w:pPr>
      <w:r>
        <w:rPr>
          <w:rFonts w:hint="eastAsia" w:ascii="黑体" w:hAnsi="黑体" w:eastAsia="黑体" w:cs="黑体"/>
          <w:sz w:val="28"/>
          <w:szCs w:val="28"/>
        </w:rPr>
        <w:t>是否接受联合体投标</w:t>
      </w:r>
    </w:p>
    <w:p>
      <w:pPr>
        <w:pStyle w:val="16"/>
        <w:keepNext w:val="0"/>
        <w:keepLines w:val="0"/>
        <w:pageBreakBefore w:val="0"/>
        <w:widowControl/>
        <w:tabs>
          <w:tab w:val="left" w:pos="709"/>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sz w:val="24"/>
          <w:szCs w:val="24"/>
          <w:lang w:val="en-US" w:eastAsia="zh-CN"/>
        </w:rPr>
      </w:pPr>
      <w:r>
        <w:rPr>
          <w:rFonts w:hint="eastAsia" w:ascii="宋体" w:hAnsi="宋体" w:eastAsia="宋体"/>
          <w:sz w:val="24"/>
          <w:szCs w:val="24"/>
          <w:lang w:val="en-US" w:eastAsia="zh-CN"/>
        </w:rPr>
        <w:t>否</w:t>
      </w:r>
    </w:p>
    <w:p>
      <w:pPr>
        <w:pStyle w:val="16"/>
        <w:keepNext w:val="0"/>
        <w:keepLines w:val="0"/>
        <w:pageBreakBefore w:val="0"/>
        <w:widowControl/>
        <w:numPr>
          <w:ilvl w:val="0"/>
          <w:numId w:val="8"/>
        </w:numPr>
        <w:tabs>
          <w:tab w:val="left" w:pos="709"/>
        </w:tabs>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ascii="宋体" w:hAnsi="宋体" w:eastAsia="宋体"/>
          <w:sz w:val="24"/>
          <w:szCs w:val="24"/>
        </w:rPr>
      </w:pPr>
      <w:r>
        <w:rPr>
          <w:rFonts w:hint="eastAsia" w:ascii="黑体" w:hAnsi="黑体" w:eastAsia="黑体" w:cs="黑体"/>
          <w:sz w:val="28"/>
          <w:szCs w:val="28"/>
        </w:rPr>
        <w:t>技术/服务要求</w:t>
      </w:r>
    </w:p>
    <w:p>
      <w:pPr>
        <w:pStyle w:val="17"/>
        <w:keepNext w:val="0"/>
        <w:keepLines w:val="0"/>
        <w:pageBreakBefore w:val="0"/>
        <w:numPr>
          <w:ilvl w:val="0"/>
          <w:numId w:val="14"/>
        </w:numPr>
        <w:wordWrap/>
        <w:overflowPunct/>
        <w:topLinePunct w:val="0"/>
        <w:bidi w:val="0"/>
        <w:spacing w:line="360" w:lineRule="auto"/>
        <w:ind w:left="0" w:leftChars="0" w:firstLine="480" w:firstLineChars="200"/>
        <w:outlineLvl w:val="1"/>
        <w:rPr>
          <w:rFonts w:ascii="宋体" w:hAnsi="宋体" w:cs="宋体"/>
          <w:b/>
          <w:sz w:val="24"/>
        </w:rPr>
      </w:pPr>
      <w:r>
        <w:rPr>
          <w:rFonts w:hint="eastAsia" w:ascii="宋体" w:hAnsi="宋体" w:cs="宋体"/>
          <w:b/>
          <w:sz w:val="24"/>
        </w:rPr>
        <w:t>污水站运营服务要求</w:t>
      </w:r>
    </w:p>
    <w:tbl>
      <w:tblPr>
        <w:tblStyle w:val="11"/>
        <w:tblW w:w="5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84"/>
        <w:gridCol w:w="3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138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院区</w:t>
            </w:r>
          </w:p>
        </w:tc>
        <w:tc>
          <w:tcPr>
            <w:tcW w:w="381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广州市番禺区第七人民医院</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1"/>
                <w:sz w:val="21"/>
                <w:szCs w:val="21"/>
              </w:rPr>
              <w:t>（东院区）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138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污水处理站设计处</w:t>
            </w:r>
            <w:r>
              <w:rPr>
                <w:rFonts w:hint="eastAsia" w:ascii="宋体" w:hAnsi="宋体" w:eastAsia="宋体" w:cs="宋体"/>
                <w:spacing w:val="4"/>
                <w:sz w:val="21"/>
                <w:szCs w:val="21"/>
              </w:rPr>
              <w:t>理规模</w:t>
            </w:r>
          </w:p>
        </w:tc>
        <w:tc>
          <w:tcPr>
            <w:tcW w:w="381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300吨/日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138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现处理规模（仅作</w:t>
            </w:r>
            <w:r>
              <w:rPr>
                <w:rFonts w:hint="eastAsia" w:ascii="宋体" w:hAnsi="宋体" w:eastAsia="宋体" w:cs="宋体"/>
                <w:spacing w:val="2"/>
                <w:sz w:val="21"/>
                <w:szCs w:val="21"/>
              </w:rPr>
              <w:t>参考）</w:t>
            </w:r>
          </w:p>
        </w:tc>
        <w:tc>
          <w:tcPr>
            <w:tcW w:w="381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约160吨/日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jc w:val="center"/>
        </w:trPr>
        <w:tc>
          <w:tcPr>
            <w:tcW w:w="138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驻场服务人员</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要求</w:t>
            </w:r>
          </w:p>
        </w:tc>
        <w:tc>
          <w:tcPr>
            <w:tcW w:w="381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140"/>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1人、12小时专人值班，其余时间作应急响应（持工业废水处理工证或污废水处</w:t>
            </w:r>
            <w:r>
              <w:rPr>
                <w:rFonts w:hint="eastAsia" w:ascii="宋体" w:hAnsi="宋体" w:eastAsia="宋体" w:cs="宋体"/>
                <w:spacing w:val="3"/>
                <w:sz w:val="21"/>
                <w:szCs w:val="21"/>
              </w:rPr>
              <w:t>理工证）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38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项目主管要求</w:t>
            </w:r>
          </w:p>
        </w:tc>
        <w:tc>
          <w:tcPr>
            <w:tcW w:w="381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1、项目经理1人（环保相关专业中级工程师职称或以上）</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2、技术主管1人（环保相关专业中级工程师职称或以上）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38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宋体" w:hAnsi="宋体" w:eastAsia="宋体" w:cs="宋体"/>
                <w:spacing w:val="6"/>
                <w:sz w:val="21"/>
                <w:szCs w:val="21"/>
                <w:lang w:val="en-US" w:eastAsia="zh-CN"/>
              </w:rPr>
            </w:pPr>
            <w:r>
              <w:rPr>
                <w:rFonts w:hint="eastAsia" w:cs="宋体"/>
                <w:spacing w:val="6"/>
                <w:sz w:val="21"/>
                <w:szCs w:val="21"/>
                <w:lang w:val="en-US" w:eastAsia="zh-CN"/>
              </w:rPr>
              <w:t>在线监测维护人员要求</w:t>
            </w:r>
          </w:p>
        </w:tc>
        <w:tc>
          <w:tcPr>
            <w:tcW w:w="381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pacing w:val="6"/>
                <w:sz w:val="21"/>
                <w:szCs w:val="21"/>
                <w:lang w:eastAsia="zh-CN"/>
              </w:rPr>
            </w:pPr>
            <w:r>
              <w:rPr>
                <w:rFonts w:hint="eastAsia" w:cs="宋体"/>
                <w:sz w:val="21"/>
                <w:szCs w:val="21"/>
                <w:lang w:val="en-US" w:eastAsia="zh-CN"/>
              </w:rPr>
              <w:t>持有</w:t>
            </w:r>
            <w:r>
              <w:rPr>
                <w:rFonts w:hint="eastAsia" w:ascii="宋体" w:hAnsi="宋体" w:eastAsia="宋体" w:cs="宋体"/>
                <w:sz w:val="21"/>
                <w:szCs w:val="21"/>
              </w:rPr>
              <w:t>自动监控（污废水)运行工或污染源自动监测（污废水运维工）</w:t>
            </w:r>
          </w:p>
        </w:tc>
      </w:tr>
    </w:tbl>
    <w:p>
      <w:pPr>
        <w:pStyle w:val="17"/>
        <w:keepNext w:val="0"/>
        <w:keepLines w:val="0"/>
        <w:pageBreakBefore w:val="0"/>
        <w:numPr>
          <w:ilvl w:val="0"/>
          <w:numId w:val="0"/>
        </w:numPr>
        <w:wordWrap/>
        <w:overflowPunct/>
        <w:topLinePunct w:val="0"/>
        <w:bidi w:val="0"/>
        <w:spacing w:line="360" w:lineRule="auto"/>
        <w:outlineLvl w:val="1"/>
      </w:pP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hint="eastAsia" w:ascii="宋体" w:hAnsi="宋体" w:cs="宋体"/>
          <w:sz w:val="24"/>
          <w:szCs w:val="24"/>
        </w:rPr>
        <w:t>东院区污水处理站实行每天12小时值班制度，确保污水处理站系统设备正常运行和排放达标。本项目需配备项目经理1名，不需驻场；配备技术主管1名，不需驻场；</w:t>
      </w:r>
      <w:r>
        <w:rPr>
          <w:rFonts w:hint="eastAsia" w:ascii="宋体" w:hAnsi="宋体" w:cs="宋体"/>
          <w:sz w:val="24"/>
          <w:szCs w:val="24"/>
          <w:u w:val="single"/>
        </w:rPr>
        <w:t>配备污废水处理工1名（不含技术主管），需驻场</w:t>
      </w:r>
      <w:r>
        <w:rPr>
          <w:rFonts w:hint="eastAsia" w:ascii="宋体" w:hAnsi="宋体" w:cs="宋体"/>
          <w:sz w:val="24"/>
          <w:szCs w:val="24"/>
        </w:rPr>
        <w:t>。项目经理需具有环保相关专业中级工程师职称或以上；技术主管需具有环保相关专业中级工程师职称或以上。所有驻点值班人员需持有有效期内的污水处理工证或污废水处理工证。项目进场时须向采购人提供管理架构资料、上述人员证书复印件作备案。</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hint="eastAsia" w:ascii="宋体" w:hAnsi="宋体" w:cs="宋体"/>
          <w:sz w:val="24"/>
          <w:szCs w:val="24"/>
        </w:rPr>
        <w:t>对采购人的特殊、紧急服务需求，中标人须在60分钟内响应、配合。对于一般问题中标人须在3小时内到达现场</w:t>
      </w:r>
      <w:r>
        <w:rPr>
          <w:rFonts w:ascii="宋体" w:hAnsi="宋体" w:cs="宋体"/>
          <w:sz w:val="24"/>
          <w:szCs w:val="24"/>
        </w:rPr>
        <w:t>响应</w:t>
      </w:r>
      <w:r>
        <w:rPr>
          <w:rFonts w:hint="eastAsia" w:ascii="宋体" w:hAnsi="宋体" w:cs="宋体"/>
          <w:sz w:val="24"/>
          <w:szCs w:val="24"/>
        </w:rPr>
        <w:t>。</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hint="eastAsia" w:ascii="宋体" w:hAnsi="宋体" w:cs="宋体"/>
          <w:sz w:val="24"/>
          <w:szCs w:val="24"/>
        </w:rPr>
        <w:t>在运营管理期内，中标人负责污水站</w:t>
      </w:r>
      <w:r>
        <w:rPr>
          <w:rFonts w:ascii="宋体" w:hAnsi="宋体" w:cs="宋体"/>
          <w:sz w:val="24"/>
          <w:szCs w:val="24"/>
        </w:rPr>
        <w:t>所有</w:t>
      </w:r>
      <w:r>
        <w:rPr>
          <w:rFonts w:hint="eastAsia" w:ascii="宋体" w:hAnsi="宋体" w:cs="宋体"/>
          <w:sz w:val="24"/>
          <w:szCs w:val="24"/>
        </w:rPr>
        <w:t>设备</w:t>
      </w:r>
      <w:r>
        <w:rPr>
          <w:rFonts w:ascii="宋体" w:hAnsi="宋体" w:cs="宋体"/>
          <w:sz w:val="24"/>
          <w:szCs w:val="24"/>
        </w:rPr>
        <w:t>的</w:t>
      </w:r>
      <w:r>
        <w:rPr>
          <w:rFonts w:hint="eastAsia" w:ascii="宋体" w:hAnsi="宋体" w:cs="宋体"/>
          <w:sz w:val="24"/>
          <w:szCs w:val="24"/>
        </w:rPr>
        <w:t>维修、维护及管理，含每周一次电工巡查保养</w:t>
      </w:r>
      <w:r>
        <w:rPr>
          <w:rFonts w:ascii="宋体" w:hAnsi="宋体" w:cs="宋体"/>
          <w:sz w:val="24"/>
          <w:szCs w:val="24"/>
        </w:rPr>
        <w:t>、400元以下零配件更换、每月更换机油的费用</w:t>
      </w:r>
      <w:r>
        <w:rPr>
          <w:rFonts w:hint="eastAsia" w:ascii="宋体" w:hAnsi="宋体" w:cs="宋体"/>
          <w:sz w:val="24"/>
          <w:szCs w:val="24"/>
        </w:rPr>
        <w:t>。</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hint="eastAsia" w:ascii="宋体" w:hAnsi="宋体" w:cs="宋体"/>
          <w:sz w:val="24"/>
          <w:szCs w:val="24"/>
        </w:rPr>
        <w:t>中标人需保证污水达标排放，非传染性污水经处理后达到《医疗机构水污染物排放标准》（GB18466-2005）综合医疗机构和其他医疗机构水污染物排放限值表2预处理标准和《污水排入城镇下水道水质标准》（CJ343-2010）两者中较严者的要求；传染性污水经处理后达到《医疗机构水污染物排放标准》（GB18466-2005）传染病、结核病医疗机构水污染物排放限值表1标准和《污水排入城镇下水道水质标准》（CJ343-2010）两者中较严者的要求。如在合同履行期间国家或地方政府颁发新的排放标准则依照新的排放标准执行。</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hint="eastAsia" w:ascii="宋体" w:hAnsi="宋体" w:cs="宋体"/>
          <w:sz w:val="24"/>
          <w:szCs w:val="24"/>
        </w:rPr>
        <w:t>中标人的运营管理及人员必须服从采购人的管理和监督。中标人在服务期间须秉着负责的态度和严格的工作作风，积极响应采购人各项工作要求，对院区污水站发生特殊或紧急情况的，须立即向采购人汇报相关情况。</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ascii="宋体" w:hAnsi="宋体" w:cs="宋体"/>
          <w:sz w:val="24"/>
          <w:szCs w:val="24"/>
        </w:rPr>
        <w:t>中标人要</w:t>
      </w:r>
      <w:r>
        <w:rPr>
          <w:rFonts w:hint="eastAsia" w:ascii="宋体" w:hAnsi="宋体" w:cs="宋体"/>
          <w:sz w:val="24"/>
          <w:szCs w:val="24"/>
        </w:rPr>
        <w:t>每天打扫污水站卫生，</w:t>
      </w:r>
      <w:r>
        <w:rPr>
          <w:rFonts w:ascii="宋体" w:hAnsi="宋体" w:cs="宋体"/>
          <w:sz w:val="24"/>
          <w:szCs w:val="24"/>
        </w:rPr>
        <w:t>每周进行一次大清洁，保持污水站周围环境卫生清洁。</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hint="eastAsia" w:ascii="宋体" w:hAnsi="宋体" w:cs="宋体"/>
          <w:sz w:val="24"/>
          <w:szCs w:val="24"/>
        </w:rPr>
        <w:t>中标人作为本项目的安全责任人，须采取一切措施对项目的服务人员进行安全教育、管理，确保杜绝一切安全事故。因中标人的过错（包括故意和管理过失）发生维保、消防、用电等事故，由中标人承担一切责任，因非可归咎于采购人的原因而发生人身伤亡或财产损失事件的，采购人不承担任何责任。发生工伤、计生等劳资纠纷由中标人自行负责，与采购人无关。</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hint="eastAsia" w:ascii="宋体" w:hAnsi="宋体" w:cs="宋体"/>
          <w:sz w:val="24"/>
          <w:szCs w:val="24"/>
        </w:rPr>
        <w:t>合同期限内，中标人需无条件为采购人办理全国排污申报、延续、数据上传、证后管理等排污相关手续及协助填报上级环保部门要求的各平台电子台账</w:t>
      </w:r>
      <w:r>
        <w:rPr>
          <w:rFonts w:ascii="宋体" w:hAnsi="宋体" w:cs="宋体"/>
          <w:sz w:val="24"/>
          <w:szCs w:val="24"/>
        </w:rPr>
        <w:t>、环保指标、数据</w:t>
      </w:r>
      <w:r>
        <w:rPr>
          <w:rFonts w:hint="eastAsia" w:ascii="宋体" w:hAnsi="宋体" w:cs="宋体"/>
          <w:sz w:val="24"/>
          <w:szCs w:val="24"/>
        </w:rPr>
        <w:t>等相关资料</w:t>
      </w:r>
      <w:r>
        <w:rPr>
          <w:rFonts w:ascii="宋体" w:hAnsi="宋体" w:cs="宋体"/>
          <w:sz w:val="24"/>
          <w:szCs w:val="24"/>
        </w:rPr>
        <w:t>，</w:t>
      </w:r>
      <w:r>
        <w:rPr>
          <w:rFonts w:hint="eastAsia" w:ascii="宋体" w:hAnsi="宋体" w:cs="宋体"/>
          <w:sz w:val="24"/>
          <w:szCs w:val="24"/>
          <w:lang w:bidi="ar"/>
        </w:rPr>
        <w:t>报送前经采购人进行审核</w:t>
      </w:r>
      <w:r>
        <w:rPr>
          <w:rFonts w:ascii="宋体" w:hAnsi="宋体" w:cs="宋体"/>
          <w:sz w:val="24"/>
          <w:szCs w:val="24"/>
          <w:lang w:bidi="ar"/>
        </w:rPr>
        <w:t>。</w:t>
      </w:r>
      <w:r>
        <w:rPr>
          <w:rFonts w:ascii="宋体" w:hAnsi="宋体" w:cs="宋体"/>
          <w:sz w:val="24"/>
          <w:szCs w:val="24"/>
        </w:rPr>
        <w:t xml:space="preserve"> </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hint="eastAsia" w:ascii="宋体" w:hAnsi="宋体" w:cs="宋体"/>
          <w:sz w:val="24"/>
          <w:szCs w:val="24"/>
        </w:rPr>
        <w:t>中标人</w:t>
      </w:r>
      <w:r>
        <w:rPr>
          <w:rFonts w:hint="eastAsia" w:ascii="宋体" w:hAnsi="宋体" w:cs="宋体"/>
          <w:color w:val="000000"/>
          <w:sz w:val="24"/>
          <w:szCs w:val="24"/>
          <w:lang w:bidi="ar"/>
        </w:rPr>
        <w:t>每日</w:t>
      </w:r>
      <w:r>
        <w:rPr>
          <w:rFonts w:hint="eastAsia" w:ascii="宋体" w:hAnsi="宋体" w:cs="宋体"/>
          <w:sz w:val="24"/>
          <w:szCs w:val="24"/>
        </w:rPr>
        <w:t>需</w:t>
      </w:r>
      <w:r>
        <w:rPr>
          <w:rFonts w:ascii="宋体" w:hAnsi="宋体" w:cs="宋体"/>
          <w:color w:val="000000"/>
          <w:sz w:val="24"/>
          <w:szCs w:val="24"/>
          <w:lang w:bidi="ar"/>
        </w:rPr>
        <w:t>开展</w:t>
      </w:r>
      <w:r>
        <w:rPr>
          <w:rFonts w:hint="eastAsia" w:ascii="宋体" w:hAnsi="宋体" w:cs="宋体"/>
          <w:color w:val="000000"/>
          <w:sz w:val="24"/>
          <w:szCs w:val="24"/>
          <w:lang w:bidi="ar"/>
        </w:rPr>
        <w:t>水质快速检测</w:t>
      </w:r>
      <w:r>
        <w:rPr>
          <w:rFonts w:hint="eastAsia" w:ascii="宋体" w:hAnsi="宋体" w:eastAsia="宋体" w:cs="宋体"/>
          <w:color w:val="000000"/>
          <w:sz w:val="24"/>
          <w:szCs w:val="24"/>
          <w:lang w:val="en-US" w:eastAsia="zh-CN" w:bidi="ar"/>
        </w:rPr>
        <w:t>2</w:t>
      </w:r>
      <w:r>
        <w:rPr>
          <w:rFonts w:ascii="宋体" w:hAnsi="宋体" w:cs="宋体"/>
          <w:color w:val="000000"/>
          <w:sz w:val="24"/>
          <w:szCs w:val="24"/>
          <w:lang w:bidi="ar"/>
        </w:rPr>
        <w:t>次，</w:t>
      </w:r>
      <w:r>
        <w:rPr>
          <w:rFonts w:hint="eastAsia" w:ascii="宋体" w:hAnsi="宋体" w:cs="宋体"/>
          <w:color w:val="000000"/>
          <w:sz w:val="24"/>
          <w:szCs w:val="24"/>
          <w:lang w:bidi="ar"/>
        </w:rPr>
        <w:t>检测项目：pH、余氧</w:t>
      </w:r>
      <w:r>
        <w:rPr>
          <w:rFonts w:ascii="宋体" w:hAnsi="宋体" w:cs="宋体"/>
          <w:color w:val="000000"/>
          <w:sz w:val="24"/>
          <w:szCs w:val="24"/>
          <w:lang w:bidi="ar"/>
        </w:rPr>
        <w:t>；</w:t>
      </w:r>
      <w:r>
        <w:rPr>
          <w:rFonts w:hint="eastAsia" w:ascii="宋体" w:hAnsi="宋体" w:cs="宋体"/>
          <w:sz w:val="24"/>
          <w:szCs w:val="24"/>
        </w:rPr>
        <w:t>每周需对院区污水站内水质进行自检一次</w:t>
      </w:r>
      <w:r>
        <w:rPr>
          <w:rFonts w:ascii="宋体" w:hAnsi="宋体" w:cs="宋体"/>
          <w:sz w:val="24"/>
          <w:szCs w:val="24"/>
        </w:rPr>
        <w:t>，</w:t>
      </w:r>
      <w:r>
        <w:rPr>
          <w:rFonts w:hint="eastAsia" w:ascii="宋体" w:hAnsi="宋体" w:cs="宋体"/>
          <w:sz w:val="24"/>
          <w:szCs w:val="24"/>
          <w:lang w:bidi="ar"/>
        </w:rPr>
        <w:t>检测项目：PH、COD、SS、色度</w:t>
      </w:r>
      <w:r>
        <w:rPr>
          <w:rFonts w:hint="eastAsia" w:ascii="宋体" w:hAnsi="宋体" w:cs="宋体"/>
          <w:sz w:val="24"/>
          <w:szCs w:val="24"/>
        </w:rPr>
        <w:t>（特殊情况下，按采购人要求执行），随时监测水质处理情况，自检报告需按时提交交采购人存档备案。</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hint="eastAsia" w:ascii="宋体" w:hAnsi="宋体" w:cs="宋体"/>
          <w:sz w:val="24"/>
          <w:szCs w:val="24"/>
        </w:rPr>
        <w:t>服务期间，中标人服务人员应遵纪守法，须穿着统一的制服，佩戴有效工作证件，遵守采购人单位的各项规章管理制度，同时必须接受过必要的培训，具备岗位的操作技能和资格，并将相关资格及培训记录交采购人备案。驻场的运营管理操作人员与中标人签订的劳动合同交采购人备案。如服务人员不服从采购人现场工作人员的指挥管理，采购人有权要求中标人更换服务人员。</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hint="eastAsia" w:ascii="宋体" w:hAnsi="宋体" w:cs="宋体"/>
          <w:sz w:val="24"/>
          <w:szCs w:val="24"/>
        </w:rPr>
        <w:t>中标人应建立日常工作记录台账，将每日进行的一切工作活动记录在册，包括</w:t>
      </w:r>
      <w:r>
        <w:rPr>
          <w:rFonts w:ascii="宋体" w:hAnsi="宋体" w:cs="宋体"/>
          <w:sz w:val="24"/>
          <w:szCs w:val="24"/>
        </w:rPr>
        <w:t>但不限于</w:t>
      </w:r>
      <w:r>
        <w:rPr>
          <w:rFonts w:hint="eastAsia" w:ascii="宋体" w:hAnsi="宋体" w:cs="宋体"/>
          <w:sz w:val="24"/>
          <w:szCs w:val="24"/>
        </w:rPr>
        <w:t>开泵、关泵、清渣、投加药剂、定期清理格栅、清洗在线监测仪探头、维修、交接班时间和工作内容</w:t>
      </w:r>
      <w:r>
        <w:rPr>
          <w:rFonts w:ascii="宋体" w:hAnsi="宋体" w:cs="宋体"/>
          <w:sz w:val="24"/>
          <w:szCs w:val="24"/>
        </w:rPr>
        <w:t>、巡查、维保维修记录</w:t>
      </w:r>
      <w:r>
        <w:rPr>
          <w:rFonts w:hint="eastAsia" w:ascii="宋体" w:hAnsi="宋体" w:cs="宋体"/>
          <w:sz w:val="24"/>
          <w:szCs w:val="24"/>
        </w:rPr>
        <w:t>等，所形成的全部资料按采购人要求做好装订成册、归档</w:t>
      </w:r>
      <w:r>
        <w:rPr>
          <w:rFonts w:ascii="宋体" w:hAnsi="宋体" w:cs="宋体"/>
          <w:sz w:val="24"/>
          <w:szCs w:val="24"/>
        </w:rPr>
        <w:t>并交采购人存档</w:t>
      </w:r>
      <w:r>
        <w:rPr>
          <w:rFonts w:hint="eastAsia" w:ascii="宋体" w:hAnsi="宋体" w:cs="宋体"/>
          <w:sz w:val="24"/>
          <w:szCs w:val="24"/>
        </w:rPr>
        <w:t>。中标人必须每月制定运营情况报告（包括运营情况、存在问题、分析、解决方案等）及监督评价交采购人存档。</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ascii="宋体" w:hAnsi="宋体" w:cs="宋体"/>
          <w:sz w:val="24"/>
          <w:szCs w:val="24"/>
          <w:lang w:bidi="ar"/>
        </w:rPr>
        <w:t>在进场前，</w:t>
      </w:r>
      <w:r>
        <w:rPr>
          <w:rFonts w:hint="eastAsia" w:ascii="宋体" w:hAnsi="宋体" w:cs="宋体"/>
          <w:sz w:val="24"/>
          <w:szCs w:val="24"/>
          <w:lang w:bidi="ar"/>
        </w:rPr>
        <w:t>中标人须与采购人一起对</w:t>
      </w:r>
      <w:r>
        <w:rPr>
          <w:rFonts w:ascii="宋体" w:hAnsi="宋体" w:cs="宋体"/>
          <w:sz w:val="24"/>
          <w:szCs w:val="24"/>
          <w:lang w:bidi="ar"/>
        </w:rPr>
        <w:t>污水站内</w:t>
      </w:r>
      <w:r>
        <w:rPr>
          <w:rFonts w:hint="eastAsia" w:ascii="宋体" w:hAnsi="宋体" w:cs="宋体"/>
          <w:sz w:val="24"/>
          <w:szCs w:val="24"/>
          <w:lang w:bidi="ar"/>
        </w:rPr>
        <w:t>所有设备作首次全面</w:t>
      </w:r>
      <w:r>
        <w:rPr>
          <w:rFonts w:ascii="宋体" w:hAnsi="宋体" w:cs="宋体"/>
          <w:sz w:val="24"/>
          <w:szCs w:val="24"/>
          <w:lang w:bidi="ar"/>
        </w:rPr>
        <w:t>盘点</w:t>
      </w:r>
      <w:r>
        <w:rPr>
          <w:rFonts w:hint="eastAsia" w:ascii="宋体" w:hAnsi="宋体" w:cs="宋体"/>
          <w:sz w:val="24"/>
          <w:szCs w:val="24"/>
          <w:lang w:bidi="ar"/>
        </w:rPr>
        <w:t>，记录其状况和工作状态，并共同测试。调校所有仪表设备。调校合格后，由采购人与中标人共同</w:t>
      </w:r>
      <w:r>
        <w:rPr>
          <w:rFonts w:ascii="宋体" w:hAnsi="宋体" w:cs="宋体"/>
          <w:sz w:val="24"/>
          <w:szCs w:val="24"/>
          <w:lang w:bidi="ar"/>
        </w:rPr>
        <w:t>签名</w:t>
      </w:r>
      <w:r>
        <w:rPr>
          <w:rFonts w:hint="eastAsia" w:ascii="宋体" w:hAnsi="宋体" w:cs="宋体"/>
          <w:sz w:val="24"/>
          <w:szCs w:val="24"/>
          <w:lang w:bidi="ar"/>
        </w:rPr>
        <w:t>确认。合同期满或项目移交采购人时，中标人须与采购人一起共同</w:t>
      </w:r>
      <w:r>
        <w:rPr>
          <w:rFonts w:ascii="宋体" w:hAnsi="宋体" w:cs="宋体"/>
          <w:sz w:val="24"/>
          <w:szCs w:val="24"/>
          <w:lang w:bidi="ar"/>
        </w:rPr>
        <w:t>盘点</w:t>
      </w:r>
      <w:r>
        <w:rPr>
          <w:rFonts w:hint="eastAsia" w:ascii="宋体" w:hAnsi="宋体" w:cs="宋体"/>
          <w:sz w:val="24"/>
          <w:szCs w:val="24"/>
          <w:lang w:bidi="ar"/>
        </w:rPr>
        <w:t>和编制污水站的</w:t>
      </w:r>
      <w:r>
        <w:rPr>
          <w:rFonts w:ascii="宋体" w:hAnsi="宋体" w:cs="宋体"/>
          <w:sz w:val="24"/>
          <w:szCs w:val="24"/>
          <w:lang w:bidi="ar"/>
        </w:rPr>
        <w:t>设备</w:t>
      </w:r>
      <w:r>
        <w:rPr>
          <w:rFonts w:hint="eastAsia" w:ascii="宋体" w:hAnsi="宋体" w:cs="宋体"/>
          <w:sz w:val="24"/>
          <w:szCs w:val="24"/>
          <w:lang w:bidi="ar"/>
        </w:rPr>
        <w:t>移交清单，并按规定办理有关移交手续。</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hint="eastAsia" w:ascii="宋体" w:hAnsi="宋体" w:cs="宋体"/>
          <w:sz w:val="24"/>
          <w:szCs w:val="24"/>
        </w:rPr>
        <w:t>投标人须承诺中标后确保污水站设备损坏期间或下雨、消防等特殊情况的污水排放达标，如上述情况的污水排放不达标，由此造成的一切经济损失及其他连带责任，由中标人负责，采购人有权单方面解除合同。</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ascii="宋体" w:hAnsi="宋体" w:cs="宋体"/>
          <w:sz w:val="24"/>
          <w:szCs w:val="24"/>
        </w:rPr>
        <w:t>中标人须</w:t>
      </w:r>
      <w:r>
        <w:rPr>
          <w:rFonts w:hint="eastAsia" w:ascii="宋体" w:hAnsi="宋体" w:cs="宋体"/>
          <w:sz w:val="24"/>
          <w:szCs w:val="24"/>
        </w:rPr>
        <w:t>接受当地环保部门的监督管理及定期与不定期的排污监测检查</w:t>
      </w:r>
      <w:r>
        <w:rPr>
          <w:rFonts w:ascii="宋体" w:hAnsi="宋体" w:cs="宋体"/>
          <w:sz w:val="24"/>
          <w:szCs w:val="24"/>
        </w:rPr>
        <w:t>，及</w:t>
      </w:r>
      <w:r>
        <w:rPr>
          <w:rFonts w:hint="eastAsia" w:ascii="宋体" w:hAnsi="宋体" w:cs="宋体"/>
          <w:sz w:val="24"/>
          <w:szCs w:val="24"/>
        </w:rPr>
        <w:t>协助采购人做好第三方水样的采集、配送工作。</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hint="eastAsia" w:ascii="宋体" w:hAnsi="宋体" w:cs="宋体"/>
          <w:sz w:val="24"/>
          <w:szCs w:val="24"/>
        </w:rPr>
        <w:t>中标人接管污水处理站后，必须严格执行《中华人民共和国环境保护法》、《突发环境事件应急管理办法》及地方有关法律法规、标准，遵守现行颁布的环境管理规章制度及有关政策。</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cs="宋体"/>
          <w:sz w:val="24"/>
          <w:szCs w:val="24"/>
        </w:rPr>
      </w:pPr>
      <w:r>
        <w:rPr>
          <w:rFonts w:hint="eastAsia" w:ascii="宋体" w:hAnsi="宋体" w:cs="宋体"/>
          <w:sz w:val="24"/>
          <w:szCs w:val="24"/>
        </w:rPr>
        <w:t>中标人不得以任何方式转包或分包本项目，否则采购人有权单方终止合同，由此产生的一切经济损失由中标人自行承担。</w:t>
      </w:r>
    </w:p>
    <w:p>
      <w:pPr>
        <w:pStyle w:val="17"/>
        <w:keepNext w:val="0"/>
        <w:keepLines w:val="0"/>
        <w:pageBreakBefore w:val="0"/>
        <w:numPr>
          <w:ilvl w:val="0"/>
          <w:numId w:val="16"/>
        </w:numPr>
        <w:wordWrap/>
        <w:overflowPunct/>
        <w:topLinePunct w:val="0"/>
        <w:bidi w:val="0"/>
        <w:spacing w:line="360" w:lineRule="auto"/>
        <w:ind w:left="0" w:leftChars="0" w:firstLine="480" w:firstLineChars="200"/>
        <w:outlineLvl w:val="1"/>
        <w:rPr>
          <w:rFonts w:ascii="宋体" w:hAnsi="宋体" w:cs="宋体"/>
          <w:b/>
          <w:sz w:val="24"/>
        </w:rPr>
      </w:pPr>
      <w:r>
        <w:rPr>
          <w:rFonts w:hint="eastAsia" w:ascii="宋体" w:hAnsi="宋体" w:cs="宋体"/>
          <w:b/>
          <w:sz w:val="24"/>
        </w:rPr>
        <w:t>污水处理消毒药剂要求</w:t>
      </w:r>
    </w:p>
    <w:p>
      <w:pPr>
        <w:keepNext w:val="0"/>
        <w:keepLines w:val="0"/>
        <w:pageBreakBefore w:val="0"/>
        <w:numPr>
          <w:ilvl w:val="0"/>
          <w:numId w:val="17"/>
        </w:numPr>
        <w:wordWrap/>
        <w:overflowPunct/>
        <w:topLinePunct w:val="0"/>
        <w:bidi w:val="0"/>
        <w:spacing w:line="360" w:lineRule="auto"/>
        <w:ind w:left="0" w:leftChars="0" w:firstLine="480" w:firstLineChars="200"/>
        <w:jc w:val="left"/>
        <w:rPr>
          <w:rFonts w:ascii="宋体" w:hAnsi="宋体" w:cs="宋体"/>
          <w:sz w:val="24"/>
          <w:szCs w:val="24"/>
        </w:rPr>
      </w:pPr>
      <w:r>
        <w:rPr>
          <w:rFonts w:hint="eastAsia" w:ascii="宋体" w:hAnsi="宋体" w:cs="宋体"/>
          <w:sz w:val="24"/>
          <w:szCs w:val="24"/>
        </w:rPr>
        <w:t>本项目消毒工艺选择活性氧消毒工艺。供应商需掌握活性氧消毒工艺技术。选取污水处理消毒药剂必须为非危化品。</w:t>
      </w:r>
    </w:p>
    <w:p>
      <w:pPr>
        <w:keepNext w:val="0"/>
        <w:keepLines w:val="0"/>
        <w:pageBreakBefore w:val="0"/>
        <w:numPr>
          <w:ilvl w:val="0"/>
          <w:numId w:val="17"/>
        </w:numPr>
        <w:wordWrap/>
        <w:overflowPunct/>
        <w:topLinePunct w:val="0"/>
        <w:bidi w:val="0"/>
        <w:spacing w:line="360" w:lineRule="auto"/>
        <w:ind w:left="0" w:leftChars="0" w:firstLine="480" w:firstLineChars="200"/>
        <w:jc w:val="left"/>
        <w:rPr>
          <w:rFonts w:ascii="宋体" w:hAnsi="宋体" w:cs="宋体"/>
          <w:sz w:val="24"/>
          <w:szCs w:val="24"/>
        </w:rPr>
      </w:pPr>
      <w:r>
        <w:rPr>
          <w:rFonts w:hint="eastAsia" w:ascii="宋体" w:hAnsi="宋体" w:cs="宋体"/>
          <w:sz w:val="24"/>
          <w:szCs w:val="24"/>
        </w:rPr>
        <w:t>保证出水排放符合国家标准和环保要求。</w:t>
      </w:r>
    </w:p>
    <w:p>
      <w:pPr>
        <w:keepNext w:val="0"/>
        <w:keepLines w:val="0"/>
        <w:pageBreakBefore w:val="0"/>
        <w:numPr>
          <w:ilvl w:val="0"/>
          <w:numId w:val="17"/>
        </w:numPr>
        <w:wordWrap/>
        <w:overflowPunct/>
        <w:topLinePunct w:val="0"/>
        <w:bidi w:val="0"/>
        <w:spacing w:line="360" w:lineRule="auto"/>
        <w:ind w:left="0" w:leftChars="0" w:firstLine="480" w:firstLineChars="200"/>
        <w:jc w:val="left"/>
        <w:rPr>
          <w:rFonts w:ascii="宋体" w:hAnsi="宋体" w:cs="宋体"/>
          <w:sz w:val="24"/>
          <w:szCs w:val="24"/>
        </w:rPr>
      </w:pPr>
      <w:r>
        <w:rPr>
          <w:rFonts w:hint="eastAsia" w:ascii="宋体" w:hAnsi="宋体" w:cs="宋体"/>
          <w:sz w:val="24"/>
          <w:szCs w:val="24"/>
        </w:rPr>
        <w:t>严格按照污水处理管理程序每天认真组织投放定量药物，确保污水处理合格率100%。如因中标人操作、维护、保养或投药不足等管理不当致使污水检验不合格受环保部门的所发生的一切处罚，责任由中标人承担。</w:t>
      </w:r>
    </w:p>
    <w:p>
      <w:pPr>
        <w:keepNext w:val="0"/>
        <w:keepLines w:val="0"/>
        <w:pageBreakBefore w:val="0"/>
        <w:numPr>
          <w:ilvl w:val="0"/>
          <w:numId w:val="17"/>
        </w:numPr>
        <w:wordWrap/>
        <w:overflowPunct/>
        <w:topLinePunct w:val="0"/>
        <w:bidi w:val="0"/>
        <w:spacing w:line="360" w:lineRule="auto"/>
        <w:ind w:left="0" w:leftChars="0" w:firstLine="480" w:firstLineChars="200"/>
        <w:jc w:val="left"/>
        <w:rPr>
          <w:rFonts w:ascii="宋体" w:hAnsi="宋体" w:cs="宋体"/>
          <w:sz w:val="24"/>
          <w:szCs w:val="24"/>
        </w:rPr>
      </w:pPr>
      <w:r>
        <w:rPr>
          <w:rFonts w:hint="eastAsia" w:ascii="宋体" w:hAnsi="宋体" w:cs="宋体"/>
          <w:sz w:val="24"/>
          <w:szCs w:val="24"/>
        </w:rPr>
        <w:t>★所采用的消毒药物及消毒品符合国家相关标准、消毒药物及消毒品的生产商应具备卫生部核发的《消毒产品生产企业卫生许可证》、产品备案凭证或者卫生许可批件。</w:t>
      </w:r>
    </w:p>
    <w:p>
      <w:pPr>
        <w:keepNext w:val="0"/>
        <w:keepLines w:val="0"/>
        <w:pageBreakBefore w:val="0"/>
        <w:numPr>
          <w:ilvl w:val="0"/>
          <w:numId w:val="17"/>
        </w:numPr>
        <w:wordWrap/>
        <w:overflowPunct/>
        <w:topLinePunct w:val="0"/>
        <w:bidi w:val="0"/>
        <w:spacing w:line="360" w:lineRule="auto"/>
        <w:ind w:left="0" w:leftChars="0" w:firstLine="480" w:firstLineChars="200"/>
        <w:jc w:val="left"/>
        <w:rPr>
          <w:rFonts w:ascii="宋体" w:hAnsi="宋体" w:cs="宋体"/>
          <w:sz w:val="24"/>
          <w:szCs w:val="24"/>
        </w:rPr>
      </w:pPr>
      <w:r>
        <w:rPr>
          <w:rFonts w:ascii="宋体" w:hAnsi="宋体" w:cs="宋体"/>
          <w:sz w:val="24"/>
          <w:szCs w:val="24"/>
        </w:rPr>
        <w:t>由中标人提供消毒药剂投药设备，同时需负责设备的维修维护，保证设备正常运行使用。</w:t>
      </w:r>
    </w:p>
    <w:p>
      <w:pPr>
        <w:keepNext w:val="0"/>
        <w:keepLines w:val="0"/>
        <w:pageBreakBefore w:val="0"/>
        <w:numPr>
          <w:ilvl w:val="0"/>
          <w:numId w:val="18"/>
        </w:numPr>
        <w:wordWrap/>
        <w:overflowPunct/>
        <w:topLinePunct w:val="0"/>
        <w:bidi w:val="0"/>
        <w:spacing w:line="360" w:lineRule="auto"/>
        <w:ind w:left="0" w:leftChars="0" w:firstLine="480" w:firstLineChars="200"/>
        <w:rPr>
          <w:rFonts w:hint="eastAsia" w:ascii="宋体" w:hAnsi="宋体" w:eastAsia="宋体" w:cs="宋体"/>
          <w:b/>
          <w:bCs/>
          <w:sz w:val="24"/>
          <w:szCs w:val="24"/>
        </w:rPr>
      </w:pPr>
      <w:r>
        <w:rPr>
          <w:rFonts w:hint="eastAsia" w:ascii="宋体" w:hAnsi="宋体" w:eastAsia="宋体" w:cs="宋体"/>
          <w:b/>
          <w:bCs/>
          <w:sz w:val="24"/>
          <w:szCs w:val="21"/>
        </w:rPr>
        <w:t>污水出水水质要求及处理</w:t>
      </w:r>
      <w:r>
        <w:rPr>
          <w:rFonts w:hint="eastAsia" w:ascii="宋体" w:hAnsi="宋体" w:eastAsia="宋体" w:cs="宋体"/>
          <w:b/>
          <w:bCs/>
          <w:sz w:val="24"/>
          <w:szCs w:val="24"/>
        </w:rPr>
        <w:t>工艺流程（仅供参考）</w:t>
      </w:r>
    </w:p>
    <w:p>
      <w:pPr>
        <w:keepNext w:val="0"/>
        <w:keepLines w:val="0"/>
        <w:pageBreakBefore w:val="0"/>
        <w:numPr>
          <w:ilvl w:val="0"/>
          <w:numId w:val="19"/>
        </w:numPr>
        <w:wordWrap/>
        <w:overflowPunct/>
        <w:topLinePunct w:val="0"/>
        <w:bidi w:val="0"/>
        <w:spacing w:line="360" w:lineRule="auto"/>
        <w:ind w:left="0" w:firstLine="480" w:firstLineChars="200"/>
      </w:pPr>
      <w:r>
        <w:rPr>
          <w:rFonts w:hint="eastAsia" w:ascii="宋体" w:hAnsi="宋体" w:cs="宋体"/>
          <w:bCs/>
          <w:sz w:val="24"/>
          <w:szCs w:val="24"/>
        </w:rPr>
        <w:t>污水</w:t>
      </w:r>
      <w:r>
        <w:rPr>
          <w:rFonts w:ascii="宋体" w:hAnsi="宋体" w:cs="宋体"/>
          <w:bCs/>
          <w:sz w:val="24"/>
          <w:szCs w:val="24"/>
        </w:rPr>
        <w:t>出水水质要求</w:t>
      </w:r>
    </w:p>
    <w:p>
      <w:pPr>
        <w:keepNext w:val="0"/>
        <w:keepLines w:val="0"/>
        <w:pageBreakBefore w:val="0"/>
        <w:wordWrap/>
        <w:overflowPunct/>
        <w:topLinePunct w:val="0"/>
        <w:bidi w:val="0"/>
        <w:spacing w:line="360" w:lineRule="auto"/>
        <w:ind w:left="0" w:firstLine="440" w:firstLineChars="200"/>
        <w:rPr>
          <w:rFonts w:ascii="宋体" w:hAnsi="宋体" w:cs="宋体"/>
          <w:bCs/>
          <w:sz w:val="22"/>
          <w:szCs w:val="22"/>
          <w:lang w:bidi="ar"/>
        </w:rPr>
      </w:pPr>
      <w:r>
        <w:rPr>
          <w:rFonts w:ascii="宋体" w:hAnsi="宋体" w:cs="宋体"/>
          <w:bCs/>
          <w:sz w:val="22"/>
          <w:szCs w:val="22"/>
        </w:rPr>
        <w:t>（1）</w:t>
      </w:r>
      <w:r>
        <w:rPr>
          <w:rFonts w:ascii="宋体" w:hAnsi="宋体" w:cs="宋体"/>
          <w:bCs/>
          <w:sz w:val="22"/>
          <w:szCs w:val="22"/>
          <w:lang w:bidi="ar"/>
        </w:rPr>
        <w:t>污水出水标准（东院区污水处理参照该标准）</w:t>
      </w:r>
    </w:p>
    <w:tbl>
      <w:tblPr>
        <w:tblStyle w:val="7"/>
        <w:tblW w:w="5000" w:type="pct"/>
        <w:jc w:val="center"/>
        <w:tblLayout w:type="autofit"/>
        <w:tblCellMar>
          <w:top w:w="0" w:type="dxa"/>
          <w:left w:w="108" w:type="dxa"/>
          <w:bottom w:w="0" w:type="dxa"/>
          <w:right w:w="108" w:type="dxa"/>
        </w:tblCellMar>
      </w:tblPr>
      <w:tblGrid>
        <w:gridCol w:w="1691"/>
        <w:gridCol w:w="1337"/>
        <w:gridCol w:w="1119"/>
        <w:gridCol w:w="1119"/>
        <w:gridCol w:w="1164"/>
        <w:gridCol w:w="2086"/>
      </w:tblGrid>
      <w:tr>
        <w:tblPrEx>
          <w:tblCellMar>
            <w:top w:w="0" w:type="dxa"/>
            <w:left w:w="108" w:type="dxa"/>
            <w:bottom w:w="0" w:type="dxa"/>
            <w:right w:w="108" w:type="dxa"/>
          </w:tblCellMar>
        </w:tblPrEx>
        <w:trPr>
          <w:cantSplit/>
          <w:trHeight w:val="397"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ascii="宋体" w:hAnsi="宋体" w:cs="宋体"/>
                <w:b/>
                <w:bCs/>
                <w:sz w:val="22"/>
                <w:szCs w:val="22"/>
                <w:lang w:bidi="ar"/>
              </w:rPr>
              <w:t>非传染性污水出水标准</w:t>
            </w:r>
          </w:p>
        </w:tc>
      </w:tr>
      <w:tr>
        <w:tblPrEx>
          <w:tblCellMar>
            <w:top w:w="0" w:type="dxa"/>
            <w:left w:w="108" w:type="dxa"/>
            <w:bottom w:w="0" w:type="dxa"/>
            <w:right w:w="108" w:type="dxa"/>
          </w:tblCellMar>
        </w:tblPrEx>
        <w:trPr>
          <w:cantSplit/>
          <w:trHeight w:val="397" w:hRule="atLeast"/>
          <w:jc w:val="center"/>
        </w:trPr>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lang w:bidi="ar"/>
              </w:rPr>
              <w:t>污染物</w:t>
            </w:r>
          </w:p>
        </w:tc>
        <w:tc>
          <w:tcPr>
            <w:tcW w:w="791"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lang w:bidi="ar"/>
              </w:rPr>
              <w:t>pH</w:t>
            </w:r>
          </w:p>
        </w:tc>
        <w:tc>
          <w:tcPr>
            <w:tcW w:w="637"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lang w:bidi="ar"/>
              </w:rPr>
              <w:t>BOD5</w:t>
            </w:r>
            <w:r>
              <w:rPr>
                <w:rFonts w:ascii="宋体" w:hAnsi="宋体" w:cs="宋体"/>
                <w:lang w:bidi="ar"/>
              </w:rPr>
              <w:t>（mg/L）</w:t>
            </w:r>
          </w:p>
        </w:tc>
        <w:tc>
          <w:tcPr>
            <w:tcW w:w="65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lang w:bidi="ar"/>
              </w:rPr>
              <w:t>CODcr</w:t>
            </w:r>
            <w:r>
              <w:rPr>
                <w:rFonts w:ascii="宋体" w:hAnsi="宋体" w:cs="宋体"/>
                <w:lang w:bidi="ar"/>
              </w:rPr>
              <w:t>（mg/L）</w:t>
            </w:r>
          </w:p>
        </w:tc>
        <w:tc>
          <w:tcPr>
            <w:tcW w:w="689"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lang w:bidi="ar"/>
              </w:rPr>
              <w:t>SS</w:t>
            </w:r>
            <w:r>
              <w:rPr>
                <w:rFonts w:ascii="宋体" w:hAnsi="宋体" w:cs="宋体"/>
                <w:lang w:bidi="ar"/>
              </w:rPr>
              <w:t>（mg/L）</w:t>
            </w:r>
          </w:p>
        </w:tc>
        <w:tc>
          <w:tcPr>
            <w:tcW w:w="1226"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lang w:bidi="ar"/>
              </w:rPr>
              <w:t>粪大肠菌群数</w:t>
            </w:r>
            <w:r>
              <w:rPr>
                <w:rFonts w:ascii="宋体" w:hAnsi="宋体" w:cs="宋体"/>
                <w:lang w:bidi="ar"/>
              </w:rPr>
              <w:t>（MPN/L）</w:t>
            </w:r>
          </w:p>
        </w:tc>
      </w:tr>
      <w:tr>
        <w:tblPrEx>
          <w:tblCellMar>
            <w:top w:w="0" w:type="dxa"/>
            <w:left w:w="108" w:type="dxa"/>
            <w:bottom w:w="0" w:type="dxa"/>
            <w:right w:w="108" w:type="dxa"/>
          </w:tblCellMar>
        </w:tblPrEx>
        <w:trPr>
          <w:cantSplit/>
          <w:trHeight w:val="397" w:hRule="atLeast"/>
          <w:jc w:val="center"/>
        </w:trPr>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lang w:bidi="ar"/>
              </w:rPr>
              <w:t>出水标准</w:t>
            </w:r>
          </w:p>
        </w:tc>
        <w:tc>
          <w:tcPr>
            <w:tcW w:w="791"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lang w:bidi="ar"/>
              </w:rPr>
              <w:t>6～9</w:t>
            </w:r>
          </w:p>
        </w:tc>
        <w:tc>
          <w:tcPr>
            <w:tcW w:w="637"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ascii="宋体" w:hAnsi="宋体" w:cs="宋体"/>
                <w:lang w:bidi="ar"/>
              </w:rPr>
              <w:t>≤</w:t>
            </w:r>
            <w:r>
              <w:rPr>
                <w:rFonts w:hint="eastAsia" w:ascii="宋体" w:hAnsi="宋体" w:cs="宋体"/>
                <w:lang w:bidi="ar"/>
              </w:rPr>
              <w:t>100</w:t>
            </w:r>
          </w:p>
        </w:tc>
        <w:tc>
          <w:tcPr>
            <w:tcW w:w="65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ascii="宋体" w:hAnsi="宋体" w:cs="宋体"/>
                <w:lang w:bidi="ar"/>
              </w:rPr>
              <w:t>≤</w:t>
            </w:r>
            <w:r>
              <w:rPr>
                <w:rFonts w:hint="eastAsia" w:ascii="宋体" w:hAnsi="宋体" w:cs="宋体"/>
                <w:lang w:bidi="ar"/>
              </w:rPr>
              <w:t>250</w:t>
            </w:r>
          </w:p>
        </w:tc>
        <w:tc>
          <w:tcPr>
            <w:tcW w:w="689"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ascii="宋体" w:hAnsi="宋体" w:cs="宋体"/>
                <w:lang w:bidi="ar"/>
              </w:rPr>
              <w:t>≤</w:t>
            </w:r>
            <w:r>
              <w:rPr>
                <w:rFonts w:hint="eastAsia" w:ascii="宋体" w:hAnsi="宋体" w:cs="宋体"/>
                <w:lang w:bidi="ar"/>
              </w:rPr>
              <w:t>60</w:t>
            </w:r>
          </w:p>
        </w:tc>
        <w:tc>
          <w:tcPr>
            <w:tcW w:w="1226"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ascii="宋体" w:hAnsi="宋体" w:cs="宋体"/>
                <w:lang w:bidi="ar"/>
              </w:rPr>
              <w:t>≤</w:t>
            </w:r>
            <w:r>
              <w:rPr>
                <w:rFonts w:hint="eastAsia" w:ascii="宋体" w:hAnsi="宋体" w:cs="宋体"/>
                <w:lang w:bidi="ar"/>
              </w:rPr>
              <w:t>5000</w:t>
            </w:r>
          </w:p>
        </w:tc>
      </w:tr>
    </w:tbl>
    <w:p>
      <w:pPr>
        <w:numPr>
          <w:ilvl w:val="255"/>
          <w:numId w:val="0"/>
        </w:numPr>
        <w:spacing w:line="360" w:lineRule="auto"/>
        <w:rPr>
          <w:rFonts w:ascii="宋体" w:hAnsi="宋体" w:cs="宋体"/>
          <w:bCs/>
          <w:sz w:val="24"/>
          <w:szCs w:val="24"/>
        </w:rPr>
      </w:pPr>
    </w:p>
    <w:p>
      <w:pPr>
        <w:spacing w:line="360" w:lineRule="auto"/>
        <w:ind w:firstLine="470" w:firstLineChars="196"/>
        <w:rPr>
          <w:rFonts w:hint="eastAsia" w:ascii="仿宋" w:hAnsi="仿宋" w:eastAsia="宋体" w:cs="仿宋"/>
          <w:sz w:val="24"/>
          <w:szCs w:val="24"/>
          <w:lang w:eastAsia="zh-CN"/>
        </w:rPr>
      </w:pPr>
      <w:r>
        <w:rPr>
          <w:rFonts w:hint="eastAsia" w:ascii="宋体" w:hAnsi="宋体" w:cs="宋体"/>
          <w:bCs/>
          <w:sz w:val="24"/>
          <w:szCs w:val="24"/>
        </w:rPr>
        <w:t>2、污水</w:t>
      </w:r>
      <w:r>
        <w:rPr>
          <w:rFonts w:ascii="宋体" w:hAnsi="宋体" w:cs="宋体"/>
          <w:sz w:val="24"/>
          <w:szCs w:val="21"/>
        </w:rPr>
        <w:t>处理</w:t>
      </w:r>
      <w:r>
        <w:rPr>
          <w:rFonts w:hint="eastAsia" w:ascii="宋体" w:hAnsi="宋体" w:cs="宋体"/>
          <w:bCs/>
          <w:sz w:val="24"/>
          <w:szCs w:val="24"/>
        </w:rPr>
        <w:t>工艺流程</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见下图</w:t>
      </w:r>
      <w:r>
        <w:rPr>
          <w:rFonts w:hint="eastAsia" w:ascii="宋体" w:hAnsi="宋体" w:eastAsia="宋体" w:cs="宋体"/>
          <w:bCs/>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drawing>
          <wp:inline distT="0" distB="0" distL="114300" distR="114300">
            <wp:extent cx="5260340" cy="3992880"/>
            <wp:effectExtent l="0" t="0" r="165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0340" cy="399288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p>
    <w:p>
      <w:pPr>
        <w:numPr>
          <w:ilvl w:val="0"/>
          <w:numId w:val="20"/>
        </w:numPr>
        <w:spacing w:line="360" w:lineRule="auto"/>
        <w:ind w:left="0" w:leftChars="0" w:firstLine="420" w:firstLineChars="0"/>
        <w:rPr>
          <w:rFonts w:ascii="宋体" w:hAnsi="宋体" w:cs="宋体"/>
          <w:b/>
          <w:sz w:val="24"/>
          <w:szCs w:val="24"/>
        </w:rPr>
      </w:pPr>
      <w:r>
        <w:rPr>
          <w:rFonts w:hint="eastAsia" w:ascii="宋体" w:hAnsi="宋体" w:cs="宋体"/>
          <w:b/>
          <w:sz w:val="24"/>
          <w:szCs w:val="24"/>
          <w:lang w:bidi="ar"/>
        </w:rPr>
        <w:t>中标人及采购人责任</w:t>
      </w:r>
    </w:p>
    <w:tbl>
      <w:tblPr>
        <w:tblStyle w:val="7"/>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459"/>
        <w:gridCol w:w="1383"/>
        <w:gridCol w:w="1005"/>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blHeader/>
          <w:jc w:val="center"/>
        </w:trPr>
        <w:tc>
          <w:tcPr>
            <w:tcW w:w="638" w:type="dxa"/>
            <w:vMerge w:val="restart"/>
            <w:shd w:val="clear" w:color="auto" w:fill="auto"/>
            <w:vAlign w:val="center"/>
          </w:tcPr>
          <w:p>
            <w:pPr>
              <w:jc w:val="center"/>
              <w:rPr>
                <w:rFonts w:ascii="宋体" w:hAnsi="宋体" w:cs="宋体"/>
                <w:sz w:val="24"/>
                <w:szCs w:val="24"/>
              </w:rPr>
            </w:pPr>
            <w:r>
              <w:rPr>
                <w:rFonts w:hint="eastAsia" w:ascii="宋体" w:hAnsi="宋体" w:cs="宋体"/>
                <w:sz w:val="24"/>
                <w:szCs w:val="24"/>
              </w:rPr>
              <w:t>编号</w:t>
            </w:r>
          </w:p>
        </w:tc>
        <w:tc>
          <w:tcPr>
            <w:tcW w:w="4459" w:type="dxa"/>
            <w:vMerge w:val="restart"/>
            <w:shd w:val="clear" w:color="auto" w:fill="auto"/>
            <w:vAlign w:val="center"/>
          </w:tcPr>
          <w:p>
            <w:pPr>
              <w:jc w:val="center"/>
              <w:rPr>
                <w:rFonts w:ascii="宋体" w:hAnsi="宋体" w:cs="宋体"/>
                <w:sz w:val="24"/>
                <w:szCs w:val="24"/>
              </w:rPr>
            </w:pPr>
            <w:r>
              <w:rPr>
                <w:rFonts w:hint="eastAsia" w:ascii="宋体" w:hAnsi="宋体" w:cs="宋体"/>
                <w:sz w:val="24"/>
                <w:szCs w:val="24"/>
              </w:rPr>
              <w:t>工作内容</w:t>
            </w:r>
          </w:p>
        </w:tc>
        <w:tc>
          <w:tcPr>
            <w:tcW w:w="1383" w:type="dxa"/>
            <w:vMerge w:val="restart"/>
            <w:shd w:val="clear" w:color="auto" w:fill="auto"/>
            <w:vAlign w:val="center"/>
          </w:tcPr>
          <w:p>
            <w:pPr>
              <w:jc w:val="center"/>
              <w:rPr>
                <w:rFonts w:ascii="宋体" w:hAnsi="宋体" w:cs="宋体"/>
                <w:sz w:val="24"/>
                <w:szCs w:val="24"/>
              </w:rPr>
            </w:pPr>
            <w:r>
              <w:rPr>
                <w:rFonts w:hint="eastAsia" w:ascii="宋体" w:hAnsi="宋体" w:cs="宋体"/>
                <w:sz w:val="24"/>
                <w:szCs w:val="24"/>
              </w:rPr>
              <w:t>频率</w:t>
            </w:r>
          </w:p>
        </w:tc>
        <w:tc>
          <w:tcPr>
            <w:tcW w:w="1899" w:type="dxa"/>
            <w:gridSpan w:val="2"/>
            <w:shd w:val="clear" w:color="auto" w:fill="auto"/>
            <w:vAlign w:val="center"/>
          </w:tcPr>
          <w:p>
            <w:pPr>
              <w:jc w:val="center"/>
              <w:rPr>
                <w:rFonts w:ascii="宋体" w:hAnsi="宋体" w:cs="宋体"/>
                <w:sz w:val="24"/>
                <w:szCs w:val="24"/>
              </w:rPr>
            </w:pPr>
            <w:r>
              <w:rPr>
                <w:rFonts w:hint="eastAsia" w:ascii="宋体" w:hAnsi="宋体" w:cs="宋体"/>
                <w:sz w:val="24"/>
                <w:szCs w:val="24"/>
              </w:rPr>
              <w:t>责任方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blHeader/>
          <w:jc w:val="center"/>
        </w:trPr>
        <w:tc>
          <w:tcPr>
            <w:tcW w:w="638" w:type="dxa"/>
            <w:vMerge w:val="continue"/>
            <w:shd w:val="clear" w:color="auto" w:fill="auto"/>
            <w:vAlign w:val="center"/>
          </w:tcPr>
          <w:p>
            <w:pPr>
              <w:jc w:val="center"/>
              <w:rPr>
                <w:rFonts w:ascii="宋体" w:hAnsi="宋体" w:cs="宋体"/>
                <w:sz w:val="24"/>
                <w:szCs w:val="24"/>
              </w:rPr>
            </w:pPr>
          </w:p>
        </w:tc>
        <w:tc>
          <w:tcPr>
            <w:tcW w:w="4459" w:type="dxa"/>
            <w:vMerge w:val="continue"/>
            <w:shd w:val="clear" w:color="auto" w:fill="auto"/>
            <w:vAlign w:val="center"/>
          </w:tcPr>
          <w:p>
            <w:pPr>
              <w:jc w:val="center"/>
              <w:rPr>
                <w:rFonts w:ascii="宋体" w:hAnsi="宋体" w:cs="宋体"/>
                <w:sz w:val="24"/>
                <w:szCs w:val="24"/>
              </w:rPr>
            </w:pPr>
          </w:p>
        </w:tc>
        <w:tc>
          <w:tcPr>
            <w:tcW w:w="1383" w:type="dxa"/>
            <w:vMerge w:val="continue"/>
            <w:shd w:val="clear" w:color="auto" w:fill="auto"/>
            <w:vAlign w:val="center"/>
          </w:tcPr>
          <w:p>
            <w:pPr>
              <w:jc w:val="center"/>
              <w:rPr>
                <w:rFonts w:ascii="宋体" w:hAnsi="宋体" w:cs="宋体"/>
                <w:sz w:val="24"/>
                <w:szCs w:val="24"/>
              </w:rPr>
            </w:pPr>
          </w:p>
        </w:tc>
        <w:tc>
          <w:tcPr>
            <w:tcW w:w="1005" w:type="dxa"/>
            <w:shd w:val="clear" w:color="auto" w:fill="auto"/>
            <w:vAlign w:val="center"/>
          </w:tcPr>
          <w:p>
            <w:pPr>
              <w:jc w:val="center"/>
              <w:rPr>
                <w:rFonts w:ascii="宋体" w:hAnsi="宋体" w:cs="宋体"/>
                <w:sz w:val="24"/>
                <w:szCs w:val="24"/>
              </w:rPr>
            </w:pPr>
            <w:r>
              <w:rPr>
                <w:rFonts w:hint="eastAsia" w:ascii="宋体" w:hAnsi="宋体" w:cs="宋体"/>
                <w:sz w:val="24"/>
                <w:szCs w:val="24"/>
              </w:rPr>
              <w:t>采购人</w:t>
            </w:r>
          </w:p>
        </w:tc>
        <w:tc>
          <w:tcPr>
            <w:tcW w:w="894" w:type="dxa"/>
            <w:shd w:val="clear" w:color="auto" w:fill="auto"/>
            <w:vAlign w:val="center"/>
          </w:tcPr>
          <w:p>
            <w:pPr>
              <w:jc w:val="center"/>
              <w:rPr>
                <w:rFonts w:ascii="宋体" w:hAnsi="宋体" w:cs="宋体"/>
                <w:sz w:val="24"/>
                <w:szCs w:val="24"/>
              </w:rPr>
            </w:pPr>
            <w:r>
              <w:rPr>
                <w:rFonts w:hint="eastAsia" w:ascii="宋体" w:hAnsi="宋体" w:cs="宋体"/>
                <w:sz w:val="24"/>
                <w:szCs w:val="24"/>
              </w:rPr>
              <w:t>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3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459" w:type="dxa"/>
            <w:shd w:val="clear" w:color="auto" w:fill="auto"/>
            <w:vAlign w:val="center"/>
          </w:tcPr>
          <w:p>
            <w:pPr>
              <w:jc w:val="center"/>
              <w:rPr>
                <w:rFonts w:ascii="宋体" w:hAnsi="宋体" w:cs="宋体"/>
                <w:sz w:val="24"/>
                <w:szCs w:val="24"/>
              </w:rPr>
            </w:pPr>
            <w:r>
              <w:rPr>
                <w:rFonts w:hint="eastAsia" w:ascii="宋体" w:hAnsi="宋体" w:cs="宋体"/>
                <w:sz w:val="24"/>
                <w:szCs w:val="24"/>
              </w:rPr>
              <w:t>东院区污水站日常运行管理</w:t>
            </w:r>
          </w:p>
        </w:tc>
        <w:tc>
          <w:tcPr>
            <w:tcW w:w="1383" w:type="dxa"/>
            <w:shd w:val="clear" w:color="auto" w:fill="auto"/>
            <w:vAlign w:val="center"/>
          </w:tcPr>
          <w:p>
            <w:pPr>
              <w:jc w:val="center"/>
              <w:rPr>
                <w:rFonts w:ascii="宋体" w:hAnsi="宋体" w:cs="宋体"/>
                <w:sz w:val="24"/>
                <w:szCs w:val="24"/>
              </w:rPr>
            </w:pPr>
            <w:r>
              <w:rPr>
                <w:rFonts w:ascii="宋体" w:hAnsi="宋体" w:cs="宋体"/>
                <w:sz w:val="24"/>
                <w:szCs w:val="24"/>
              </w:rPr>
              <w:t>12</w:t>
            </w:r>
            <w:r>
              <w:rPr>
                <w:rFonts w:hint="eastAsia" w:ascii="宋体" w:hAnsi="宋体" w:cs="宋体"/>
                <w:sz w:val="24"/>
                <w:szCs w:val="24"/>
              </w:rPr>
              <w:t>小时</w:t>
            </w:r>
            <w:r>
              <w:rPr>
                <w:rFonts w:ascii="宋体" w:hAnsi="宋体" w:cs="宋体"/>
                <w:sz w:val="24"/>
                <w:szCs w:val="24"/>
              </w:rPr>
              <w:t>/天</w:t>
            </w:r>
          </w:p>
        </w:tc>
        <w:tc>
          <w:tcPr>
            <w:tcW w:w="1005" w:type="dxa"/>
            <w:shd w:val="clear" w:color="auto" w:fill="auto"/>
            <w:vAlign w:val="center"/>
          </w:tcPr>
          <w:p>
            <w:pPr>
              <w:jc w:val="center"/>
              <w:rPr>
                <w:rFonts w:ascii="宋体" w:hAnsi="宋体" w:cs="宋体"/>
                <w:sz w:val="24"/>
                <w:szCs w:val="24"/>
              </w:rPr>
            </w:pPr>
          </w:p>
        </w:tc>
        <w:tc>
          <w:tcPr>
            <w:tcW w:w="894" w:type="dxa"/>
            <w:shd w:val="clear" w:color="auto" w:fill="auto"/>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3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459" w:type="dxa"/>
            <w:shd w:val="clear" w:color="auto" w:fill="auto"/>
            <w:vAlign w:val="center"/>
          </w:tcPr>
          <w:p>
            <w:pPr>
              <w:jc w:val="center"/>
              <w:rPr>
                <w:rFonts w:ascii="宋体" w:hAnsi="宋体" w:cs="宋体"/>
                <w:sz w:val="24"/>
                <w:szCs w:val="24"/>
              </w:rPr>
            </w:pPr>
            <w:r>
              <w:rPr>
                <w:rFonts w:hint="eastAsia" w:ascii="宋体" w:hAnsi="宋体" w:cs="宋体"/>
                <w:sz w:val="24"/>
                <w:szCs w:val="24"/>
              </w:rPr>
              <w:t>设备、电气系统检查</w:t>
            </w:r>
          </w:p>
        </w:tc>
        <w:tc>
          <w:tcPr>
            <w:tcW w:w="1383" w:type="dxa"/>
            <w:shd w:val="clear" w:color="auto" w:fill="auto"/>
            <w:vAlign w:val="center"/>
          </w:tcPr>
          <w:p>
            <w:pPr>
              <w:jc w:val="center"/>
              <w:rPr>
                <w:rFonts w:ascii="宋体" w:hAnsi="宋体" w:cs="宋体"/>
                <w:sz w:val="24"/>
                <w:szCs w:val="24"/>
              </w:rPr>
            </w:pPr>
            <w:r>
              <w:rPr>
                <w:rFonts w:hint="eastAsia" w:ascii="宋体" w:hAnsi="宋体" w:cs="宋体"/>
                <w:sz w:val="24"/>
                <w:szCs w:val="24"/>
              </w:rPr>
              <w:t>每周</w:t>
            </w:r>
            <w:r>
              <w:rPr>
                <w:rFonts w:ascii="宋体" w:hAnsi="宋体" w:cs="宋体"/>
                <w:sz w:val="24"/>
                <w:szCs w:val="24"/>
              </w:rPr>
              <w:t>1次</w:t>
            </w:r>
          </w:p>
        </w:tc>
        <w:tc>
          <w:tcPr>
            <w:tcW w:w="1005" w:type="dxa"/>
            <w:shd w:val="clear" w:color="auto" w:fill="auto"/>
            <w:vAlign w:val="center"/>
          </w:tcPr>
          <w:p>
            <w:pPr>
              <w:jc w:val="center"/>
              <w:rPr>
                <w:rFonts w:ascii="宋体" w:hAnsi="宋体" w:cs="宋体"/>
                <w:sz w:val="24"/>
                <w:szCs w:val="24"/>
              </w:rPr>
            </w:pPr>
          </w:p>
        </w:tc>
        <w:tc>
          <w:tcPr>
            <w:tcW w:w="894" w:type="dxa"/>
            <w:shd w:val="clear" w:color="auto" w:fill="auto"/>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3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459" w:type="dxa"/>
            <w:shd w:val="clear" w:color="auto" w:fill="auto"/>
            <w:vAlign w:val="center"/>
          </w:tcPr>
          <w:p>
            <w:pPr>
              <w:jc w:val="center"/>
              <w:rPr>
                <w:rFonts w:ascii="宋体" w:hAnsi="宋体" w:cs="宋体"/>
                <w:sz w:val="24"/>
                <w:szCs w:val="24"/>
              </w:rPr>
            </w:pPr>
            <w:r>
              <w:rPr>
                <w:rFonts w:hint="eastAsia" w:ascii="宋体" w:hAnsi="宋体" w:cs="宋体"/>
                <w:sz w:val="24"/>
                <w:szCs w:val="24"/>
              </w:rPr>
              <w:t>单个</w:t>
            </w:r>
            <w:r>
              <w:rPr>
                <w:rFonts w:ascii="宋体" w:hAnsi="宋体" w:cs="宋体"/>
                <w:sz w:val="24"/>
                <w:szCs w:val="24"/>
              </w:rPr>
              <w:t>400元以下零配件更换</w:t>
            </w:r>
          </w:p>
        </w:tc>
        <w:tc>
          <w:tcPr>
            <w:tcW w:w="1383" w:type="dxa"/>
            <w:shd w:val="clear" w:color="auto" w:fill="auto"/>
            <w:vAlign w:val="center"/>
          </w:tcPr>
          <w:p>
            <w:pPr>
              <w:jc w:val="center"/>
              <w:rPr>
                <w:rFonts w:ascii="宋体" w:hAnsi="宋体" w:cs="宋体"/>
                <w:sz w:val="24"/>
                <w:szCs w:val="24"/>
              </w:rPr>
            </w:pPr>
            <w:r>
              <w:rPr>
                <w:rFonts w:hint="eastAsia" w:ascii="宋体" w:hAnsi="宋体" w:cs="宋体"/>
                <w:sz w:val="24"/>
                <w:szCs w:val="24"/>
              </w:rPr>
              <w:t>按需</w:t>
            </w:r>
          </w:p>
        </w:tc>
        <w:tc>
          <w:tcPr>
            <w:tcW w:w="1005" w:type="dxa"/>
            <w:shd w:val="clear" w:color="auto" w:fill="auto"/>
            <w:vAlign w:val="center"/>
          </w:tcPr>
          <w:p>
            <w:pPr>
              <w:jc w:val="center"/>
              <w:rPr>
                <w:rFonts w:ascii="宋体" w:hAnsi="宋体" w:cs="宋体"/>
                <w:sz w:val="24"/>
                <w:szCs w:val="24"/>
              </w:rPr>
            </w:pPr>
          </w:p>
        </w:tc>
        <w:tc>
          <w:tcPr>
            <w:tcW w:w="894" w:type="dxa"/>
            <w:shd w:val="clear" w:color="auto" w:fill="auto"/>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3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459" w:type="dxa"/>
            <w:shd w:val="clear" w:color="auto" w:fill="auto"/>
            <w:vAlign w:val="center"/>
          </w:tcPr>
          <w:p>
            <w:pPr>
              <w:jc w:val="center"/>
              <w:rPr>
                <w:rFonts w:ascii="宋体" w:hAnsi="宋体" w:cs="宋体"/>
                <w:sz w:val="24"/>
                <w:szCs w:val="24"/>
              </w:rPr>
            </w:pPr>
            <w:r>
              <w:rPr>
                <w:rFonts w:hint="eastAsia" w:ascii="宋体" w:hAnsi="宋体" w:cs="宋体"/>
                <w:sz w:val="24"/>
                <w:szCs w:val="24"/>
              </w:rPr>
              <w:t>单个</w:t>
            </w:r>
            <w:r>
              <w:rPr>
                <w:rFonts w:ascii="宋体" w:hAnsi="宋体" w:cs="宋体"/>
                <w:sz w:val="24"/>
                <w:szCs w:val="24"/>
              </w:rPr>
              <w:t>400元及以上零配件更换</w:t>
            </w:r>
          </w:p>
        </w:tc>
        <w:tc>
          <w:tcPr>
            <w:tcW w:w="1383" w:type="dxa"/>
            <w:shd w:val="clear" w:color="auto" w:fill="auto"/>
            <w:vAlign w:val="center"/>
          </w:tcPr>
          <w:p>
            <w:pPr>
              <w:jc w:val="center"/>
              <w:rPr>
                <w:rFonts w:ascii="宋体" w:hAnsi="宋体" w:cs="宋体"/>
                <w:sz w:val="24"/>
                <w:szCs w:val="24"/>
              </w:rPr>
            </w:pPr>
            <w:r>
              <w:rPr>
                <w:rFonts w:hint="eastAsia" w:ascii="宋体" w:hAnsi="宋体" w:cs="宋体"/>
                <w:sz w:val="24"/>
                <w:szCs w:val="24"/>
              </w:rPr>
              <w:t>按需</w:t>
            </w:r>
          </w:p>
        </w:tc>
        <w:tc>
          <w:tcPr>
            <w:tcW w:w="1005" w:type="dxa"/>
            <w:shd w:val="clear" w:color="auto" w:fill="auto"/>
            <w:vAlign w:val="center"/>
          </w:tcPr>
          <w:p>
            <w:pPr>
              <w:jc w:val="center"/>
              <w:rPr>
                <w:rFonts w:ascii="宋体" w:hAnsi="宋体" w:cs="宋体"/>
                <w:sz w:val="24"/>
                <w:szCs w:val="24"/>
              </w:rPr>
            </w:pPr>
            <w:r>
              <w:rPr>
                <w:rFonts w:hint="eastAsia" w:ascii="宋体" w:hAnsi="宋体" w:cs="宋体"/>
                <w:sz w:val="24"/>
                <w:szCs w:val="24"/>
              </w:rPr>
              <w:t>√</w:t>
            </w:r>
          </w:p>
        </w:tc>
        <w:tc>
          <w:tcPr>
            <w:tcW w:w="894" w:type="dxa"/>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3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459" w:type="dxa"/>
            <w:shd w:val="clear" w:color="auto" w:fill="auto"/>
            <w:vAlign w:val="center"/>
          </w:tcPr>
          <w:p>
            <w:pPr>
              <w:jc w:val="center"/>
              <w:rPr>
                <w:rFonts w:ascii="宋体" w:hAnsi="宋体" w:cs="宋体"/>
                <w:sz w:val="24"/>
                <w:szCs w:val="24"/>
              </w:rPr>
            </w:pPr>
            <w:r>
              <w:rPr>
                <w:rFonts w:ascii="宋体" w:hAnsi="宋体" w:cs="宋体"/>
                <w:sz w:val="24"/>
                <w:szCs w:val="24"/>
              </w:rPr>
              <w:t>污水消毒药剂投放设备</w:t>
            </w:r>
          </w:p>
        </w:tc>
        <w:tc>
          <w:tcPr>
            <w:tcW w:w="1383" w:type="dxa"/>
            <w:shd w:val="clear" w:color="auto" w:fill="auto"/>
            <w:vAlign w:val="center"/>
          </w:tcPr>
          <w:p>
            <w:pPr>
              <w:jc w:val="center"/>
              <w:rPr>
                <w:rFonts w:ascii="宋体" w:hAnsi="宋体" w:cs="宋体"/>
                <w:sz w:val="24"/>
                <w:szCs w:val="24"/>
              </w:rPr>
            </w:pPr>
            <w:r>
              <w:rPr>
                <w:rFonts w:hint="eastAsia" w:ascii="宋体" w:hAnsi="宋体" w:cs="宋体"/>
                <w:sz w:val="24"/>
                <w:szCs w:val="24"/>
              </w:rPr>
              <w:t>按需</w:t>
            </w:r>
          </w:p>
        </w:tc>
        <w:tc>
          <w:tcPr>
            <w:tcW w:w="1005" w:type="dxa"/>
            <w:shd w:val="clear" w:color="auto" w:fill="auto"/>
            <w:vAlign w:val="center"/>
          </w:tcPr>
          <w:p>
            <w:pPr>
              <w:jc w:val="center"/>
              <w:rPr>
                <w:rFonts w:ascii="宋体" w:hAnsi="宋体" w:cs="宋体"/>
                <w:sz w:val="24"/>
                <w:szCs w:val="24"/>
              </w:rPr>
            </w:pPr>
          </w:p>
        </w:tc>
        <w:tc>
          <w:tcPr>
            <w:tcW w:w="894" w:type="dxa"/>
            <w:shd w:val="clear" w:color="auto" w:fill="auto"/>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3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459" w:type="dxa"/>
            <w:shd w:val="clear" w:color="auto" w:fill="auto"/>
            <w:vAlign w:val="center"/>
          </w:tcPr>
          <w:p>
            <w:pPr>
              <w:jc w:val="center"/>
              <w:rPr>
                <w:rFonts w:ascii="宋体" w:hAnsi="宋体" w:cs="宋体"/>
                <w:sz w:val="24"/>
                <w:szCs w:val="24"/>
              </w:rPr>
            </w:pPr>
            <w:r>
              <w:rPr>
                <w:rFonts w:hint="eastAsia" w:ascii="宋体" w:hAnsi="宋体" w:cs="宋体"/>
                <w:sz w:val="24"/>
                <w:szCs w:val="24"/>
              </w:rPr>
              <w:t>污水消毒药剂采购</w:t>
            </w:r>
          </w:p>
        </w:tc>
        <w:tc>
          <w:tcPr>
            <w:tcW w:w="1383" w:type="dxa"/>
            <w:shd w:val="clear" w:color="auto" w:fill="auto"/>
            <w:vAlign w:val="center"/>
          </w:tcPr>
          <w:p>
            <w:pPr>
              <w:jc w:val="center"/>
              <w:rPr>
                <w:rFonts w:ascii="宋体" w:hAnsi="宋体" w:cs="宋体"/>
                <w:sz w:val="24"/>
                <w:szCs w:val="24"/>
              </w:rPr>
            </w:pPr>
            <w:r>
              <w:rPr>
                <w:rFonts w:hint="eastAsia" w:ascii="宋体" w:hAnsi="宋体" w:cs="宋体"/>
                <w:sz w:val="24"/>
                <w:szCs w:val="24"/>
              </w:rPr>
              <w:t>按需</w:t>
            </w:r>
          </w:p>
        </w:tc>
        <w:tc>
          <w:tcPr>
            <w:tcW w:w="1005" w:type="dxa"/>
            <w:shd w:val="clear" w:color="auto" w:fill="auto"/>
            <w:vAlign w:val="center"/>
          </w:tcPr>
          <w:p>
            <w:pPr>
              <w:jc w:val="center"/>
              <w:rPr>
                <w:rFonts w:ascii="宋体" w:hAnsi="宋体" w:cs="宋体"/>
                <w:sz w:val="24"/>
                <w:szCs w:val="24"/>
              </w:rPr>
            </w:pPr>
          </w:p>
        </w:tc>
        <w:tc>
          <w:tcPr>
            <w:tcW w:w="894" w:type="dxa"/>
            <w:shd w:val="clear" w:color="auto" w:fill="auto"/>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3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459" w:type="dxa"/>
            <w:shd w:val="clear" w:color="auto" w:fill="auto"/>
            <w:vAlign w:val="center"/>
          </w:tcPr>
          <w:p>
            <w:pPr>
              <w:jc w:val="center"/>
              <w:rPr>
                <w:rFonts w:ascii="宋体" w:hAnsi="宋体" w:cs="宋体"/>
                <w:sz w:val="24"/>
                <w:szCs w:val="24"/>
              </w:rPr>
            </w:pPr>
            <w:r>
              <w:rPr>
                <w:rFonts w:hint="eastAsia" w:ascii="宋体" w:hAnsi="宋体" w:cs="宋体"/>
                <w:sz w:val="24"/>
                <w:szCs w:val="24"/>
              </w:rPr>
              <w:t>日常内部化验（检测项目：</w:t>
            </w:r>
            <w:r>
              <w:rPr>
                <w:rFonts w:ascii="宋体" w:hAnsi="宋体" w:cs="宋体"/>
                <w:sz w:val="24"/>
                <w:szCs w:val="24"/>
              </w:rPr>
              <w:t>PH、COD、SS、色度）</w:t>
            </w:r>
          </w:p>
        </w:tc>
        <w:tc>
          <w:tcPr>
            <w:tcW w:w="1383" w:type="dxa"/>
            <w:shd w:val="clear" w:color="auto" w:fill="auto"/>
            <w:vAlign w:val="center"/>
          </w:tcPr>
          <w:p>
            <w:pPr>
              <w:jc w:val="center"/>
              <w:rPr>
                <w:rFonts w:ascii="宋体" w:hAnsi="宋体" w:cs="宋体"/>
                <w:sz w:val="24"/>
                <w:szCs w:val="24"/>
              </w:rPr>
            </w:pPr>
            <w:r>
              <w:rPr>
                <w:rFonts w:hint="eastAsia" w:ascii="宋体" w:hAnsi="宋体" w:cs="宋体"/>
                <w:sz w:val="24"/>
                <w:szCs w:val="24"/>
              </w:rPr>
              <w:t>每周</w:t>
            </w:r>
            <w:r>
              <w:rPr>
                <w:rFonts w:ascii="宋体" w:hAnsi="宋体" w:cs="宋体"/>
                <w:sz w:val="24"/>
                <w:szCs w:val="24"/>
              </w:rPr>
              <w:t>1次</w:t>
            </w:r>
          </w:p>
        </w:tc>
        <w:tc>
          <w:tcPr>
            <w:tcW w:w="1005" w:type="dxa"/>
            <w:shd w:val="clear" w:color="auto" w:fill="auto"/>
            <w:vAlign w:val="center"/>
          </w:tcPr>
          <w:p>
            <w:pPr>
              <w:jc w:val="center"/>
              <w:rPr>
                <w:rFonts w:ascii="宋体" w:hAnsi="宋体" w:cs="宋体"/>
                <w:sz w:val="24"/>
                <w:szCs w:val="24"/>
              </w:rPr>
            </w:pPr>
          </w:p>
        </w:tc>
        <w:tc>
          <w:tcPr>
            <w:tcW w:w="894" w:type="dxa"/>
            <w:shd w:val="clear" w:color="auto" w:fill="auto"/>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3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459" w:type="dxa"/>
            <w:shd w:val="clear" w:color="auto" w:fill="auto"/>
            <w:vAlign w:val="center"/>
          </w:tcPr>
          <w:p>
            <w:pPr>
              <w:jc w:val="center"/>
              <w:rPr>
                <w:rFonts w:ascii="宋体" w:hAnsi="宋体" w:cs="宋体"/>
                <w:sz w:val="24"/>
                <w:szCs w:val="24"/>
              </w:rPr>
            </w:pPr>
            <w:r>
              <w:rPr>
                <w:rFonts w:hint="eastAsia" w:ascii="宋体" w:hAnsi="宋体" w:cs="宋体"/>
                <w:color w:val="000000"/>
                <w:kern w:val="0"/>
                <w:sz w:val="24"/>
                <w:szCs w:val="24"/>
              </w:rPr>
              <w:t>每日水质快速检测项目（检测项目：</w:t>
            </w:r>
            <w:r>
              <w:rPr>
                <w:rFonts w:ascii="宋体" w:hAnsi="宋体" w:cs="宋体"/>
                <w:color w:val="000000"/>
                <w:kern w:val="0"/>
                <w:sz w:val="24"/>
                <w:szCs w:val="24"/>
              </w:rPr>
              <w:t>pH</w:t>
            </w:r>
            <w:r>
              <w:rPr>
                <w:rFonts w:hint="eastAsia" w:ascii="宋体" w:hAnsi="宋体" w:cs="宋体"/>
                <w:color w:val="000000"/>
                <w:kern w:val="0"/>
                <w:sz w:val="24"/>
                <w:szCs w:val="24"/>
              </w:rPr>
              <w:t>、余氧）</w:t>
            </w:r>
          </w:p>
        </w:tc>
        <w:tc>
          <w:tcPr>
            <w:tcW w:w="1383" w:type="dxa"/>
            <w:shd w:val="clear" w:color="auto" w:fill="auto"/>
            <w:vAlign w:val="center"/>
          </w:tcPr>
          <w:p>
            <w:pPr>
              <w:jc w:val="center"/>
              <w:rPr>
                <w:rFonts w:ascii="宋体" w:hAnsi="宋体" w:cs="宋体"/>
                <w:sz w:val="24"/>
                <w:szCs w:val="24"/>
              </w:rPr>
            </w:pPr>
            <w:r>
              <w:rPr>
                <w:rFonts w:hint="eastAsia" w:ascii="宋体" w:hAnsi="宋体" w:cs="宋体"/>
                <w:color w:val="000000"/>
                <w:kern w:val="0"/>
                <w:sz w:val="24"/>
                <w:szCs w:val="24"/>
              </w:rPr>
              <w:t>每日</w:t>
            </w: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rPr>
              <w:t>次</w:t>
            </w:r>
          </w:p>
        </w:tc>
        <w:tc>
          <w:tcPr>
            <w:tcW w:w="1005" w:type="dxa"/>
            <w:shd w:val="clear" w:color="auto" w:fill="auto"/>
            <w:vAlign w:val="center"/>
          </w:tcPr>
          <w:p>
            <w:pPr>
              <w:jc w:val="center"/>
              <w:rPr>
                <w:rFonts w:ascii="宋体" w:hAnsi="宋体" w:cs="宋体"/>
                <w:sz w:val="24"/>
                <w:szCs w:val="24"/>
              </w:rPr>
            </w:pPr>
          </w:p>
        </w:tc>
        <w:tc>
          <w:tcPr>
            <w:tcW w:w="894" w:type="dxa"/>
            <w:shd w:val="clear" w:color="auto" w:fill="auto"/>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38"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459" w:type="dxa"/>
            <w:shd w:val="clear" w:color="auto" w:fill="auto"/>
            <w:vAlign w:val="center"/>
          </w:tcPr>
          <w:p>
            <w:pPr>
              <w:jc w:val="center"/>
              <w:rPr>
                <w:rFonts w:ascii="宋体" w:hAnsi="宋体" w:cs="宋体"/>
                <w:sz w:val="24"/>
                <w:szCs w:val="24"/>
              </w:rPr>
            </w:pPr>
            <w:r>
              <w:rPr>
                <w:rFonts w:hint="eastAsia" w:ascii="宋体" w:hAnsi="宋体" w:cs="宋体"/>
                <w:sz w:val="24"/>
                <w:szCs w:val="24"/>
              </w:rPr>
              <w:t>栅渣清理、装袋</w:t>
            </w:r>
          </w:p>
        </w:tc>
        <w:tc>
          <w:tcPr>
            <w:tcW w:w="1383" w:type="dxa"/>
            <w:shd w:val="clear" w:color="auto" w:fill="auto"/>
            <w:vAlign w:val="center"/>
          </w:tcPr>
          <w:p>
            <w:pPr>
              <w:jc w:val="center"/>
              <w:rPr>
                <w:rFonts w:ascii="宋体" w:hAnsi="宋体" w:cs="宋体"/>
                <w:sz w:val="24"/>
                <w:szCs w:val="24"/>
              </w:rPr>
            </w:pPr>
            <w:r>
              <w:rPr>
                <w:rFonts w:hint="eastAsia" w:ascii="宋体" w:hAnsi="宋体" w:cs="宋体"/>
                <w:sz w:val="24"/>
                <w:szCs w:val="24"/>
              </w:rPr>
              <w:t>每日</w:t>
            </w:r>
          </w:p>
        </w:tc>
        <w:tc>
          <w:tcPr>
            <w:tcW w:w="1005" w:type="dxa"/>
            <w:shd w:val="clear" w:color="auto" w:fill="auto"/>
            <w:vAlign w:val="center"/>
          </w:tcPr>
          <w:p>
            <w:pPr>
              <w:jc w:val="center"/>
              <w:rPr>
                <w:rFonts w:ascii="宋体" w:hAnsi="宋体" w:cs="宋体"/>
                <w:sz w:val="24"/>
                <w:szCs w:val="24"/>
              </w:rPr>
            </w:pPr>
          </w:p>
        </w:tc>
        <w:tc>
          <w:tcPr>
            <w:tcW w:w="894" w:type="dxa"/>
            <w:shd w:val="clear" w:color="auto" w:fill="auto"/>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38" w:type="dxa"/>
            <w:shd w:val="clear" w:color="auto" w:fill="auto"/>
            <w:vAlign w:val="center"/>
          </w:tcPr>
          <w:p>
            <w:pPr>
              <w:jc w:val="center"/>
              <w:rPr>
                <w:rFonts w:hint="eastAsia" w:ascii="宋体" w:hAnsi="宋体" w:eastAsia="宋体" w:cs="宋体"/>
                <w:sz w:val="24"/>
                <w:szCs w:val="24"/>
                <w:lang w:val="en-US" w:eastAsia="zh-CN"/>
              </w:rPr>
            </w:pPr>
            <w:r>
              <w:rPr>
                <w:rFonts w:ascii="宋体" w:hAnsi="宋体" w:cs="宋体"/>
                <w:sz w:val="24"/>
                <w:szCs w:val="24"/>
              </w:rPr>
              <w:t>1</w:t>
            </w:r>
            <w:r>
              <w:rPr>
                <w:rFonts w:hint="eastAsia" w:ascii="宋体" w:hAnsi="宋体" w:eastAsia="宋体" w:cs="宋体"/>
                <w:sz w:val="24"/>
                <w:szCs w:val="24"/>
                <w:lang w:val="en-US" w:eastAsia="zh-CN"/>
              </w:rPr>
              <w:t>0</w:t>
            </w:r>
          </w:p>
        </w:tc>
        <w:tc>
          <w:tcPr>
            <w:tcW w:w="4459" w:type="dxa"/>
            <w:shd w:val="clear" w:color="auto" w:fill="auto"/>
            <w:vAlign w:val="center"/>
          </w:tcPr>
          <w:p>
            <w:pPr>
              <w:jc w:val="center"/>
              <w:rPr>
                <w:rFonts w:ascii="宋体" w:hAnsi="宋体" w:cs="宋体"/>
                <w:sz w:val="24"/>
                <w:szCs w:val="24"/>
              </w:rPr>
            </w:pPr>
            <w:r>
              <w:rPr>
                <w:rFonts w:hint="eastAsia" w:ascii="宋体" w:hAnsi="宋体" w:cs="宋体"/>
                <w:sz w:val="24"/>
                <w:szCs w:val="24"/>
              </w:rPr>
              <w:t>每月清洗换机油</w:t>
            </w:r>
          </w:p>
        </w:tc>
        <w:tc>
          <w:tcPr>
            <w:tcW w:w="1383" w:type="dxa"/>
            <w:shd w:val="clear" w:color="auto" w:fill="auto"/>
            <w:vAlign w:val="center"/>
          </w:tcPr>
          <w:p>
            <w:pPr>
              <w:jc w:val="center"/>
              <w:rPr>
                <w:rFonts w:ascii="宋体" w:hAnsi="宋体" w:cs="宋体"/>
                <w:sz w:val="24"/>
                <w:szCs w:val="24"/>
              </w:rPr>
            </w:pPr>
            <w:r>
              <w:rPr>
                <w:rFonts w:hint="eastAsia" w:ascii="宋体" w:hAnsi="宋体" w:cs="宋体"/>
                <w:sz w:val="24"/>
                <w:szCs w:val="24"/>
              </w:rPr>
              <w:t>每月</w:t>
            </w:r>
            <w:r>
              <w:rPr>
                <w:rFonts w:ascii="宋体" w:hAnsi="宋体" w:cs="宋体"/>
                <w:sz w:val="24"/>
                <w:szCs w:val="24"/>
              </w:rPr>
              <w:t>1</w:t>
            </w:r>
            <w:r>
              <w:rPr>
                <w:rFonts w:hint="eastAsia" w:ascii="宋体" w:hAnsi="宋体" w:cs="宋体"/>
                <w:sz w:val="24"/>
                <w:szCs w:val="24"/>
              </w:rPr>
              <w:t>次</w:t>
            </w:r>
          </w:p>
        </w:tc>
        <w:tc>
          <w:tcPr>
            <w:tcW w:w="1005" w:type="dxa"/>
            <w:shd w:val="clear" w:color="auto" w:fill="auto"/>
            <w:vAlign w:val="center"/>
          </w:tcPr>
          <w:p>
            <w:pPr>
              <w:jc w:val="center"/>
              <w:rPr>
                <w:rFonts w:ascii="宋体" w:hAnsi="宋体" w:cs="宋体"/>
                <w:sz w:val="24"/>
                <w:szCs w:val="24"/>
              </w:rPr>
            </w:pPr>
          </w:p>
        </w:tc>
        <w:tc>
          <w:tcPr>
            <w:tcW w:w="894" w:type="dxa"/>
            <w:shd w:val="clear" w:color="auto" w:fill="auto"/>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638" w:type="dxa"/>
            <w:shd w:val="clear" w:color="auto" w:fill="auto"/>
            <w:vAlign w:val="center"/>
          </w:tcPr>
          <w:p>
            <w:pPr>
              <w:jc w:val="center"/>
              <w:rPr>
                <w:rFonts w:hint="eastAsia" w:ascii="宋体" w:hAnsi="宋体" w:eastAsia="宋体" w:cs="宋体"/>
                <w:sz w:val="24"/>
                <w:szCs w:val="24"/>
                <w:lang w:val="en-US" w:eastAsia="zh-CN"/>
              </w:rPr>
            </w:pPr>
            <w:r>
              <w:rPr>
                <w:rFonts w:ascii="宋体" w:hAnsi="宋体" w:cs="宋体"/>
                <w:sz w:val="24"/>
                <w:szCs w:val="24"/>
              </w:rPr>
              <w:t>1</w:t>
            </w:r>
            <w:r>
              <w:rPr>
                <w:rFonts w:hint="eastAsia" w:ascii="宋体" w:hAnsi="宋体" w:eastAsia="宋体" w:cs="宋体"/>
                <w:sz w:val="24"/>
                <w:szCs w:val="24"/>
                <w:lang w:val="en-US" w:eastAsia="zh-CN"/>
              </w:rPr>
              <w:t>1</w:t>
            </w:r>
          </w:p>
        </w:tc>
        <w:tc>
          <w:tcPr>
            <w:tcW w:w="4459" w:type="dxa"/>
            <w:shd w:val="clear" w:color="auto" w:fill="auto"/>
            <w:vAlign w:val="center"/>
          </w:tcPr>
          <w:p>
            <w:pPr>
              <w:jc w:val="center"/>
              <w:rPr>
                <w:rFonts w:ascii="宋体" w:hAnsi="宋体" w:cs="宋体"/>
                <w:sz w:val="24"/>
                <w:szCs w:val="24"/>
              </w:rPr>
            </w:pPr>
            <w:r>
              <w:rPr>
                <w:rFonts w:hint="eastAsia" w:ascii="宋体" w:hAnsi="宋体" w:cs="宋体"/>
                <w:sz w:val="24"/>
                <w:szCs w:val="24"/>
              </w:rPr>
              <w:t>技术人员提供解决方案、协助现场人员处理现场问题</w:t>
            </w:r>
          </w:p>
        </w:tc>
        <w:tc>
          <w:tcPr>
            <w:tcW w:w="1383" w:type="dxa"/>
            <w:shd w:val="clear" w:color="auto" w:fill="auto"/>
            <w:vAlign w:val="center"/>
          </w:tcPr>
          <w:p>
            <w:pPr>
              <w:jc w:val="center"/>
              <w:rPr>
                <w:rFonts w:ascii="宋体" w:hAnsi="宋体" w:cs="宋体"/>
                <w:sz w:val="24"/>
                <w:szCs w:val="24"/>
              </w:rPr>
            </w:pPr>
            <w:r>
              <w:rPr>
                <w:rFonts w:hint="eastAsia" w:ascii="宋体" w:hAnsi="宋体" w:cs="宋体"/>
                <w:sz w:val="24"/>
                <w:szCs w:val="24"/>
              </w:rPr>
              <w:t>按需</w:t>
            </w:r>
          </w:p>
        </w:tc>
        <w:tc>
          <w:tcPr>
            <w:tcW w:w="1005" w:type="dxa"/>
            <w:shd w:val="clear" w:color="auto" w:fill="auto"/>
            <w:vAlign w:val="center"/>
          </w:tcPr>
          <w:p>
            <w:pPr>
              <w:jc w:val="center"/>
              <w:rPr>
                <w:rFonts w:ascii="宋体" w:hAnsi="宋体" w:cs="宋体"/>
                <w:sz w:val="24"/>
                <w:szCs w:val="24"/>
              </w:rPr>
            </w:pPr>
          </w:p>
        </w:tc>
        <w:tc>
          <w:tcPr>
            <w:tcW w:w="894" w:type="dxa"/>
            <w:shd w:val="clear" w:color="auto" w:fill="auto"/>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638"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459"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每月对院内雨水排放口水质检测（检测项目：PH、COD、氨氮、）</w:t>
            </w:r>
          </w:p>
        </w:tc>
        <w:tc>
          <w:tcPr>
            <w:tcW w:w="1383" w:type="dxa"/>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每月1次</w:t>
            </w:r>
          </w:p>
        </w:tc>
        <w:tc>
          <w:tcPr>
            <w:tcW w:w="1005" w:type="dxa"/>
            <w:shd w:val="clear" w:color="auto" w:fill="auto"/>
            <w:vAlign w:val="center"/>
          </w:tcPr>
          <w:p>
            <w:pPr>
              <w:jc w:val="center"/>
              <w:rPr>
                <w:rFonts w:ascii="宋体" w:hAnsi="宋体" w:cs="宋体"/>
                <w:sz w:val="24"/>
                <w:szCs w:val="24"/>
              </w:rPr>
            </w:pPr>
          </w:p>
        </w:tc>
        <w:tc>
          <w:tcPr>
            <w:tcW w:w="894" w:type="dxa"/>
            <w:shd w:val="clear" w:color="auto" w:fill="auto"/>
            <w:vAlign w:val="center"/>
          </w:tcPr>
          <w:p>
            <w:pPr>
              <w:jc w:val="center"/>
              <w:rPr>
                <w:rFonts w:hint="eastAsia" w:ascii="宋体" w:hAnsi="宋体" w:cs="宋体"/>
                <w:sz w:val="24"/>
                <w:szCs w:val="24"/>
              </w:rPr>
            </w:pPr>
            <w:r>
              <w:rPr>
                <w:rFonts w:hint="eastAsia" w:ascii="宋体" w:hAnsi="宋体" w:cs="宋体"/>
                <w:sz w:val="24"/>
                <w:szCs w:val="24"/>
              </w:rPr>
              <w:t>√</w:t>
            </w:r>
          </w:p>
        </w:tc>
      </w:tr>
    </w:tbl>
    <w:p>
      <w:pPr>
        <w:autoSpaceDE w:val="0"/>
        <w:autoSpaceDN w:val="0"/>
        <w:adjustRightInd w:val="0"/>
        <w:jc w:val="left"/>
        <w:rPr>
          <w:rFonts w:ascii="宋体" w:hAnsi="宋体" w:cs="宋体"/>
          <w:color w:val="000000"/>
          <w:kern w:val="0"/>
          <w:szCs w:val="21"/>
        </w:rPr>
      </w:pPr>
    </w:p>
    <w:p>
      <w:pPr>
        <w:spacing w:line="360" w:lineRule="auto"/>
        <w:rPr>
          <w:rFonts w:ascii="宋体" w:hAnsi="宋体" w:cs="宋体"/>
          <w:sz w:val="24"/>
          <w:szCs w:val="24"/>
        </w:rPr>
      </w:pPr>
    </w:p>
    <w:p>
      <w:pPr>
        <w:keepNext w:val="0"/>
        <w:keepLines w:val="0"/>
        <w:pageBreakBefore w:val="0"/>
        <w:numPr>
          <w:ilvl w:val="0"/>
          <w:numId w:val="20"/>
        </w:numPr>
        <w:wordWrap/>
        <w:overflowPunct/>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b/>
          <w:sz w:val="24"/>
          <w:szCs w:val="24"/>
          <w:lang w:val="en-US" w:eastAsia="zh-CN"/>
        </w:rPr>
        <w:t>在线监测服务要求</w:t>
      </w:r>
    </w:p>
    <w:p>
      <w:pPr>
        <w:pStyle w:val="16"/>
        <w:keepNext w:val="0"/>
        <w:keepLines w:val="0"/>
        <w:pageBreakBefore w:val="0"/>
        <w:widowControl w:val="0"/>
        <w:numPr>
          <w:ilvl w:val="0"/>
          <w:numId w:val="21"/>
        </w:numPr>
        <w:tabs>
          <w:tab w:val="left" w:pos="709"/>
        </w:tabs>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定期对试剂、标液和损坏配件按照统一标准进行配置。</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每月对在线监测仪器运行所需要的试剂按统一的标准配置或更换；</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按照规范标准统一配置零点标液和各量程的标液，并按照规范标准定期进行仪器的定期标定；</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根据仪器易损件的工作寿命，对易损件按照统一标准进行更换。</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日常维护的基本内容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对自动监控设备的维护按照系统的维护规范和各种仪器相应的维护规范进行，但必须包含以下基本内容：</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每天远程检查仪器运行状态,检查数据传输系统是否正常，如发现数据有持续异常情况，应立即前往站点进行检查。</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每七天对监测系统进行现场维护，现场维护内容包括：</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检查各台在线监测仪及辅助设备的运行状态和主要技术参数，判断运行是否正常。</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检查自来水供应、泵取水情况，检查内部管路是否通畅，仪器自动清洗装置是否运行正常，检查各在线监测仪的进样水管和排水管是否清洁，必要时进行清洗。每季度清洗水泵和过滤网。</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检查站房内电路系统、通讯系统是否正常。</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对于用电极法测量的仪器，检查标准溶液和电极填充液，进行电极探头的清洗。</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若部分站点有气体钢瓶，应检查载气气路系统是否密封，气压是否满足使用要求。</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检查各仪器标准溶液和试剂是否在有效使用期内，按相关要求每月更换标准溶液和分析试剂。</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观察数据采集传输仪运行情况，并检查连接处有无损坏，对数据进行抽样检查，对比在线监测仪、数据采集传输仪及上位机接收到的数据是否一致。</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每月现场维护内容包括：</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对在线监测仪的采样泵、管等进行一次检查，检查试剂余量（必要时添加或更换），检查采样管路的密封性和顺畅性，检查自动清洗管路的密封性和顺畅性以及是否被污染。</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月的现场维护内容还包括对在线监测仪器进行一次保养，对水泵和取水管路、配水和进水系统、仪器分析系统进行维护。对数据存储／控制系统工作状态进行一次检查，对在线监测仪进行一次日常校验。检查监测仪器接地情况，检查监测用房防雷措施。</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污染源在线监控</w:t>
      </w:r>
      <w:r>
        <w:rPr>
          <w:rFonts w:hint="eastAsia" w:ascii="宋体" w:hAnsi="宋体" w:eastAsia="宋体" w:cs="宋体"/>
          <w:sz w:val="24"/>
          <w:szCs w:val="24"/>
          <w:u w:val="single"/>
          <w:lang w:val="en-US" w:eastAsia="zh-CN"/>
        </w:rPr>
        <w:t>各级</w:t>
      </w:r>
      <w:r>
        <w:rPr>
          <w:rFonts w:hint="eastAsia" w:ascii="宋体" w:hAnsi="宋体" w:eastAsia="宋体" w:cs="宋体"/>
          <w:sz w:val="24"/>
          <w:szCs w:val="24"/>
          <w:u w:val="single"/>
        </w:rPr>
        <w:t>平台任务的处理。</w:t>
      </w:r>
      <w:r>
        <w:rPr>
          <w:rFonts w:hint="eastAsia" w:ascii="宋体" w:hAnsi="宋体" w:eastAsia="宋体" w:cs="宋体"/>
          <w:sz w:val="24"/>
          <w:szCs w:val="24"/>
          <w:u w:val="single"/>
          <w:lang w:val="en-US" w:eastAsia="zh-CN"/>
        </w:rPr>
        <w:t>对在线监测设备产生的废液收集并按要求暂存，由采购人移交给危废处理公司</w:t>
      </w:r>
      <w:r>
        <w:rPr>
          <w:rFonts w:hint="eastAsia" w:ascii="宋体" w:hAnsi="宋体" w:eastAsia="宋体" w:cs="宋体"/>
          <w:sz w:val="24"/>
          <w:szCs w:val="24"/>
          <w:lang w:val="en-US" w:eastAsia="zh-CN"/>
        </w:rPr>
        <w:t>。</w:t>
      </w:r>
    </w:p>
    <w:p>
      <w:pPr>
        <w:keepNext w:val="0"/>
        <w:keepLines w:val="0"/>
        <w:pageBreakBefore w:val="0"/>
        <w:widowControl/>
        <w:numPr>
          <w:ilvl w:val="0"/>
          <w:numId w:val="2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rPr>
      </w:pPr>
      <w:r>
        <w:rPr>
          <w:rFonts w:hint="eastAsia" w:ascii="宋体" w:hAnsi="宋体" w:eastAsia="宋体" w:cs="宋体"/>
          <w:b/>
          <w:sz w:val="24"/>
          <w:szCs w:val="24"/>
          <w:lang w:val="en-US" w:eastAsia="zh-CN"/>
        </w:rPr>
        <w:t>污水废气检测服务要求</w:t>
      </w:r>
    </w:p>
    <w:p>
      <w:pPr>
        <w:keepNext w:val="0"/>
        <w:keepLines w:val="0"/>
        <w:pageBreakBefore w:val="0"/>
        <w:widowControl/>
        <w:numPr>
          <w:ilvl w:val="0"/>
          <w:numId w:val="29"/>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sz w:val="24"/>
          <w:szCs w:val="24"/>
        </w:rPr>
      </w:pPr>
      <w:r>
        <w:rPr>
          <w:rFonts w:hint="eastAsia" w:ascii="宋体" w:hAnsi="宋体" w:eastAsia="宋体"/>
          <w:sz w:val="24"/>
          <w:szCs w:val="24"/>
        </w:rPr>
        <w:t>按要求的检测频次和国家规定的检测标准对样品完成检测工作，并按照检测频次要求提交符合要求的检测报告。</w:t>
      </w:r>
    </w:p>
    <w:p>
      <w:pPr>
        <w:keepNext w:val="0"/>
        <w:keepLines w:val="0"/>
        <w:pageBreakBefore w:val="0"/>
        <w:widowControl/>
        <w:numPr>
          <w:ilvl w:val="0"/>
          <w:numId w:val="29"/>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sz w:val="24"/>
          <w:szCs w:val="24"/>
        </w:rPr>
      </w:pPr>
      <w:r>
        <w:rPr>
          <w:rFonts w:ascii="宋体" w:hAnsi="宋体" w:eastAsia="宋体"/>
          <w:sz w:val="24"/>
          <w:szCs w:val="24"/>
        </w:rPr>
        <w:t>保证其提供的服务符合国家标准及政府部门的相关要求</w:t>
      </w:r>
      <w:r>
        <w:rPr>
          <w:rFonts w:hint="eastAsia" w:ascii="宋体" w:hAnsi="宋体" w:eastAsia="宋体"/>
          <w:sz w:val="24"/>
          <w:szCs w:val="24"/>
        </w:rPr>
        <w:t>及规定</w:t>
      </w:r>
      <w:r>
        <w:rPr>
          <w:rFonts w:ascii="宋体" w:hAnsi="宋体" w:eastAsia="宋体"/>
          <w:sz w:val="24"/>
          <w:szCs w:val="24"/>
        </w:rPr>
        <w:t>。</w:t>
      </w:r>
    </w:p>
    <w:p>
      <w:pPr>
        <w:keepNext w:val="0"/>
        <w:keepLines w:val="0"/>
        <w:pageBreakBefore w:val="0"/>
        <w:widowControl/>
        <w:numPr>
          <w:ilvl w:val="0"/>
          <w:numId w:val="29"/>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sz w:val="24"/>
          <w:szCs w:val="24"/>
        </w:rPr>
      </w:pPr>
      <w:r>
        <w:rPr>
          <w:rFonts w:hint="eastAsia" w:ascii="宋体" w:hAnsi="宋体" w:eastAsia="宋体"/>
          <w:sz w:val="24"/>
          <w:szCs w:val="24"/>
        </w:rPr>
        <w:t>按院方实际需求，在约定时间提供上门采样服务</w:t>
      </w:r>
      <w:r>
        <w:rPr>
          <w:rFonts w:ascii="宋体" w:hAnsi="宋体" w:eastAsia="宋体"/>
          <w:sz w:val="24"/>
          <w:szCs w:val="24"/>
        </w:rPr>
        <w:t>，</w:t>
      </w:r>
      <w:r>
        <w:rPr>
          <w:rFonts w:hint="eastAsia" w:ascii="宋体" w:hAnsi="宋体" w:eastAsia="宋体"/>
          <w:sz w:val="24"/>
          <w:szCs w:val="24"/>
        </w:rPr>
        <w:t>在报价表要求的检测周期内提交符合要求的检测报告，如因仪器故障或其他不可抗力因素，导致未能按时出具检测报告，应在情况发生后2小时内通知院方项目负责人，并尽可能采取补救措施。</w:t>
      </w:r>
    </w:p>
    <w:p>
      <w:pPr>
        <w:keepNext w:val="0"/>
        <w:keepLines w:val="0"/>
        <w:pageBreakBefore w:val="0"/>
        <w:widowControl/>
        <w:numPr>
          <w:ilvl w:val="0"/>
          <w:numId w:val="29"/>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sz w:val="24"/>
          <w:szCs w:val="24"/>
        </w:rPr>
      </w:pPr>
      <w:r>
        <w:rPr>
          <w:rFonts w:ascii="宋体" w:hAnsi="宋体" w:eastAsia="宋体"/>
          <w:sz w:val="24"/>
          <w:szCs w:val="24"/>
        </w:rPr>
        <w:t>服务人员要佩戴工作证，遵守医院管理规定，文明有礼。因</w:t>
      </w:r>
      <w:r>
        <w:rPr>
          <w:rFonts w:hint="eastAsia" w:ascii="宋体" w:hAnsi="宋体" w:eastAsia="宋体"/>
          <w:sz w:val="24"/>
          <w:szCs w:val="24"/>
        </w:rPr>
        <w:t>服务商服务</w:t>
      </w:r>
      <w:r>
        <w:rPr>
          <w:rFonts w:ascii="宋体" w:hAnsi="宋体" w:eastAsia="宋体"/>
          <w:sz w:val="24"/>
          <w:szCs w:val="24"/>
        </w:rPr>
        <w:t>人员违规在</w:t>
      </w:r>
      <w:r>
        <w:rPr>
          <w:rFonts w:hint="eastAsia" w:ascii="宋体" w:hAnsi="宋体" w:eastAsia="宋体"/>
          <w:sz w:val="24"/>
          <w:szCs w:val="24"/>
        </w:rPr>
        <w:t>院</w:t>
      </w:r>
      <w:r>
        <w:rPr>
          <w:rFonts w:ascii="宋体" w:hAnsi="宋体" w:eastAsia="宋体"/>
          <w:sz w:val="24"/>
          <w:szCs w:val="24"/>
        </w:rPr>
        <w:t>方处产生的纠纷争议，由</w:t>
      </w:r>
      <w:r>
        <w:rPr>
          <w:rFonts w:hint="eastAsia" w:ascii="宋体" w:hAnsi="宋体" w:eastAsia="宋体"/>
          <w:sz w:val="24"/>
          <w:szCs w:val="24"/>
        </w:rPr>
        <w:t>服务商</w:t>
      </w:r>
      <w:r>
        <w:rPr>
          <w:rFonts w:ascii="宋体" w:hAnsi="宋体" w:eastAsia="宋体"/>
          <w:sz w:val="24"/>
          <w:szCs w:val="24"/>
        </w:rPr>
        <w:t>承担相应的责任并负责解决，与</w:t>
      </w:r>
      <w:r>
        <w:rPr>
          <w:rFonts w:hint="eastAsia" w:ascii="宋体" w:hAnsi="宋体" w:eastAsia="宋体"/>
          <w:sz w:val="24"/>
          <w:szCs w:val="24"/>
        </w:rPr>
        <w:t>院</w:t>
      </w:r>
      <w:r>
        <w:rPr>
          <w:rFonts w:ascii="宋体" w:hAnsi="宋体" w:eastAsia="宋体"/>
          <w:sz w:val="24"/>
          <w:szCs w:val="24"/>
        </w:rPr>
        <w:t>方无关。</w:t>
      </w:r>
    </w:p>
    <w:p>
      <w:pPr>
        <w:keepNext w:val="0"/>
        <w:keepLines w:val="0"/>
        <w:pageBreakBefore w:val="0"/>
        <w:widowControl/>
        <w:numPr>
          <w:ilvl w:val="0"/>
          <w:numId w:val="29"/>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b w:val="0"/>
          <w:bCs w:val="0"/>
          <w:sz w:val="24"/>
          <w:szCs w:val="24"/>
        </w:rPr>
      </w:pPr>
      <w:r>
        <w:rPr>
          <w:rFonts w:hint="eastAsia" w:ascii="宋体" w:hAnsi="宋体" w:eastAsia="宋体"/>
          <w:sz w:val="24"/>
          <w:szCs w:val="24"/>
        </w:rPr>
        <w:t>未经院方允许，服务商不得将院方的样品检测数据透露给任何第三方</w:t>
      </w:r>
      <w:r>
        <w:rPr>
          <w:rFonts w:ascii="宋体" w:hAnsi="宋体" w:eastAsia="宋体"/>
          <w:sz w:val="24"/>
          <w:szCs w:val="24"/>
        </w:rPr>
        <w:t>。</w:t>
      </w:r>
    </w:p>
    <w:p>
      <w:pPr>
        <w:keepNext w:val="0"/>
        <w:keepLines w:val="0"/>
        <w:pageBreakBefore w:val="0"/>
        <w:widowControl/>
        <w:numPr>
          <w:ilvl w:val="0"/>
          <w:numId w:val="29"/>
        </w:numPr>
        <w:kinsoku w:val="0"/>
        <w:wordWrap/>
        <w:overflowPunct/>
        <w:topLinePunct w:val="0"/>
        <w:autoSpaceDE w:val="0"/>
        <w:autoSpaceDN w:val="0"/>
        <w:bidi w:val="0"/>
        <w:adjustRightInd w:val="0"/>
        <w:snapToGrid w:val="0"/>
        <w:spacing w:line="360" w:lineRule="auto"/>
        <w:ind w:left="0" w:leftChars="0" w:firstLine="480" w:firstLineChars="200"/>
        <w:textAlignment w:val="baseline"/>
      </w:pPr>
      <w:r>
        <w:rPr>
          <w:rFonts w:hint="eastAsia"/>
          <w:b w:val="0"/>
          <w:bCs w:val="0"/>
          <w:sz w:val="24"/>
          <w:szCs w:val="24"/>
        </w:rPr>
        <w:t>应急监测服务：接到</w:t>
      </w:r>
      <w:r>
        <w:rPr>
          <w:b w:val="0"/>
          <w:bCs w:val="0"/>
          <w:sz w:val="24"/>
          <w:szCs w:val="24"/>
        </w:rPr>
        <w:t>院方</w:t>
      </w:r>
      <w:r>
        <w:rPr>
          <w:rFonts w:hint="eastAsia"/>
          <w:b w:val="0"/>
          <w:bCs w:val="0"/>
          <w:sz w:val="24"/>
          <w:szCs w:val="24"/>
        </w:rPr>
        <w:t>电话通知，需在2小时内到达现场开展</w:t>
      </w:r>
      <w:r>
        <w:rPr>
          <w:rFonts w:hint="eastAsia" w:eastAsia="宋体"/>
          <w:b w:val="0"/>
          <w:bCs w:val="0"/>
          <w:sz w:val="24"/>
          <w:szCs w:val="24"/>
          <w:lang w:val="en-US" w:eastAsia="zh-CN"/>
        </w:rPr>
        <w:t>检</w:t>
      </w:r>
      <w:r>
        <w:rPr>
          <w:rFonts w:hint="eastAsia"/>
          <w:b w:val="0"/>
          <w:bCs w:val="0"/>
          <w:sz w:val="24"/>
          <w:szCs w:val="24"/>
        </w:rPr>
        <w:t>测工作。</w:t>
      </w:r>
    </w:p>
    <w:p>
      <w:pPr>
        <w:pStyle w:val="16"/>
        <w:keepNext w:val="0"/>
        <w:keepLines w:val="0"/>
        <w:pageBreakBefore w:val="0"/>
        <w:widowControl/>
        <w:numPr>
          <w:ilvl w:val="0"/>
          <w:numId w:val="30"/>
        </w:numPr>
        <w:tabs>
          <w:tab w:val="left" w:pos="709"/>
        </w:tabs>
        <w:kinsoku w:val="0"/>
        <w:wordWrap/>
        <w:overflowPunct/>
        <w:topLinePunct w:val="0"/>
        <w:autoSpaceDE w:val="0"/>
        <w:autoSpaceDN w:val="0"/>
        <w:bidi w:val="0"/>
        <w:adjustRightInd w:val="0"/>
        <w:snapToGrid w:val="0"/>
        <w:spacing w:line="360" w:lineRule="auto"/>
        <w:ind w:left="0" w:leftChars="0" w:firstLine="420" w:firstLineChars="0"/>
        <w:textAlignment w:val="baseline"/>
        <w:rPr>
          <w:rFonts w:ascii="宋体" w:hAnsi="宋体" w:eastAsia="宋体"/>
          <w:sz w:val="28"/>
          <w:szCs w:val="28"/>
        </w:rPr>
      </w:pPr>
      <w:r>
        <w:rPr>
          <w:rFonts w:hint="eastAsia" w:ascii="黑体" w:hAnsi="黑体" w:eastAsia="黑体" w:cs="黑体"/>
          <w:sz w:val="28"/>
          <w:szCs w:val="28"/>
        </w:rPr>
        <w:t>商务要求</w:t>
      </w:r>
    </w:p>
    <w:p>
      <w:pPr>
        <w:widowControl w:val="0"/>
        <w:numPr>
          <w:ilvl w:val="255"/>
          <w:numId w:val="0"/>
        </w:numPr>
        <w:kinsoku/>
        <w:autoSpaceDE/>
        <w:autoSpaceDN/>
        <w:snapToGrid/>
        <w:spacing w:line="360" w:lineRule="auto"/>
        <w:ind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sz w:val="24"/>
          <w:szCs w:val="24"/>
        </w:rPr>
        <w:t>支付方式：每</w:t>
      </w:r>
      <w:r>
        <w:rPr>
          <w:rFonts w:hint="eastAsia" w:ascii="宋体" w:hAnsi="宋体" w:eastAsia="宋体" w:cs="宋体"/>
          <w:sz w:val="24"/>
          <w:szCs w:val="24"/>
          <w:lang w:val="en-US" w:eastAsia="zh-CN"/>
        </w:rPr>
        <w:t>月</w:t>
      </w:r>
      <w:r>
        <w:rPr>
          <w:rFonts w:hint="eastAsia" w:ascii="宋体" w:hAnsi="宋体" w:eastAsia="宋体" w:cs="宋体"/>
          <w:sz w:val="24"/>
          <w:szCs w:val="24"/>
        </w:rPr>
        <w:t>支付。合同签订后，完成本</w:t>
      </w:r>
      <w:r>
        <w:rPr>
          <w:rFonts w:hint="eastAsia" w:ascii="宋体" w:hAnsi="宋体" w:eastAsia="宋体" w:cs="宋体"/>
          <w:sz w:val="24"/>
          <w:szCs w:val="24"/>
          <w:lang w:val="en-US" w:eastAsia="zh-CN"/>
        </w:rPr>
        <w:t>月</w:t>
      </w:r>
      <w:r>
        <w:rPr>
          <w:rFonts w:hint="eastAsia" w:ascii="宋体" w:hAnsi="宋体" w:eastAsia="宋体" w:cs="宋体"/>
          <w:sz w:val="24"/>
          <w:szCs w:val="24"/>
        </w:rPr>
        <w:t>服务后</w:t>
      </w:r>
      <w:r>
        <w:rPr>
          <w:rFonts w:hint="eastAsia" w:ascii="宋体" w:hAnsi="宋体" w:eastAsia="宋体" w:cs="宋体"/>
          <w:sz w:val="24"/>
          <w:szCs w:val="24"/>
          <w:lang w:val="en-US" w:eastAsia="zh-CN"/>
        </w:rPr>
        <w:t>中标人在次月15日前</w:t>
      </w:r>
      <w:r>
        <w:rPr>
          <w:rFonts w:hint="eastAsia" w:ascii="宋体" w:hAnsi="宋体" w:eastAsia="宋体" w:cs="宋体"/>
          <w:sz w:val="24"/>
          <w:szCs w:val="24"/>
          <w:u w:val="single"/>
          <w:lang w:val="en-US" w:eastAsia="zh-CN"/>
        </w:rPr>
        <w:t>向广州市番禺区第七人民医院</w:t>
      </w:r>
      <w:r>
        <w:rPr>
          <w:rFonts w:hint="eastAsia" w:ascii="宋体" w:hAnsi="宋体" w:eastAsia="宋体" w:cs="宋体"/>
          <w:sz w:val="24"/>
          <w:szCs w:val="24"/>
          <w:lang w:val="en-US" w:eastAsia="zh-CN"/>
        </w:rPr>
        <w:t>提供</w:t>
      </w:r>
      <w:r>
        <w:rPr>
          <w:rFonts w:hint="eastAsia" w:ascii="宋体" w:hAnsi="宋体" w:eastAsia="宋体" w:cs="宋体"/>
          <w:sz w:val="24"/>
          <w:szCs w:val="24"/>
        </w:rPr>
        <w:t>有效发票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请款函、《污水处理运营等服务综合评价表》</w:t>
      </w:r>
      <w:r>
        <w:rPr>
          <w:rFonts w:hint="eastAsia" w:ascii="宋体" w:hAnsi="宋体" w:eastAsia="宋体" w:cs="宋体"/>
          <w:sz w:val="24"/>
          <w:szCs w:val="24"/>
        </w:rPr>
        <w:t>向采购人申请上</w:t>
      </w:r>
      <w:r>
        <w:rPr>
          <w:rFonts w:hint="eastAsia" w:ascii="宋体" w:hAnsi="宋体" w:eastAsia="宋体" w:cs="宋体"/>
          <w:sz w:val="24"/>
          <w:szCs w:val="24"/>
          <w:lang w:val="en-US" w:eastAsia="zh-CN"/>
        </w:rPr>
        <w:t>月污水处理运营管理服务费</w:t>
      </w:r>
      <w:r>
        <w:rPr>
          <w:rFonts w:hint="eastAsia" w:ascii="宋体" w:hAnsi="宋体" w:eastAsia="宋体" w:cs="宋体"/>
          <w:sz w:val="24"/>
          <w:szCs w:val="24"/>
        </w:rPr>
        <w:t>，采购人收到发票后</w:t>
      </w:r>
      <w:r>
        <w:rPr>
          <w:rFonts w:hint="eastAsia" w:ascii="宋体" w:hAnsi="宋体" w:eastAsia="宋体" w:cs="宋体"/>
          <w:sz w:val="24"/>
          <w:szCs w:val="24"/>
          <w:lang w:val="en-US" w:eastAsia="zh-CN"/>
        </w:rPr>
        <w:t>十</w:t>
      </w:r>
      <w:r>
        <w:rPr>
          <w:rFonts w:hint="eastAsia" w:ascii="宋体" w:hAnsi="宋体" w:eastAsia="宋体" w:cs="宋体"/>
          <w:sz w:val="24"/>
          <w:szCs w:val="24"/>
        </w:rPr>
        <w:t>个工作日内办理支付。</w:t>
      </w:r>
      <w:r>
        <w:rPr>
          <w:rFonts w:hint="eastAsia" w:ascii="宋体" w:hAnsi="宋体" w:eastAsia="宋体" w:cs="宋体"/>
          <w:bCs/>
          <w:sz w:val="24"/>
          <w:szCs w:val="24"/>
          <w:lang w:val="en-US" w:eastAsia="zh-CN"/>
        </w:rPr>
        <w:t>污水废气废水检测请款（按实际产生的费用结算）：根据实际采样检测项点及次数，提供请款函、发票、价格明细表、采样计划表纳入检测报告出具时间所在的月份结算。</w:t>
      </w:r>
    </w:p>
    <w:p>
      <w:pPr>
        <w:keepNext w:val="0"/>
        <w:keepLines w:val="0"/>
        <w:pageBreakBefore w:val="0"/>
        <w:widowControl w:val="0"/>
        <w:kinsoku/>
        <w:wordWrap/>
        <w:overflowPunct/>
        <w:topLinePunct w:val="0"/>
        <w:autoSpaceDE/>
        <w:autoSpaceDN/>
        <w:bidi w:val="0"/>
        <w:snapToGrid/>
        <w:spacing w:beforeLines="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numPr>
          <w:ilvl w:val="-1"/>
          <w:numId w:val="0"/>
        </w:numPr>
        <w:kinsoku/>
        <w:wordWrap/>
        <w:overflowPunct/>
        <w:topLinePunct w:val="0"/>
        <w:autoSpaceDE/>
        <w:autoSpaceDN/>
        <w:bidi w:val="0"/>
        <w:adjustRightInd w:val="0"/>
        <w:snapToGrid/>
        <w:spacing w:beforeLines="0"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备注：（1）考核情况由甲方进行月度综合考评，总分为100分，综合考评85分及以上的为合格，低于85分的为不合格。低于85分每下降1分扣当月服务费2000元，考评表见附件一《污水处理运营管理等服务综合评价表》。综合考评分连续3个月得分低于85分的，甲方有权终止合同。</w:t>
      </w:r>
    </w:p>
    <w:p>
      <w:pPr>
        <w:keepNext w:val="0"/>
        <w:keepLines w:val="0"/>
        <w:pageBreakBefore w:val="0"/>
        <w:widowControl w:val="0"/>
        <w:numPr>
          <w:ilvl w:val="-1"/>
          <w:numId w:val="0"/>
        </w:numPr>
        <w:kinsoku/>
        <w:wordWrap/>
        <w:overflowPunct/>
        <w:topLinePunct w:val="0"/>
        <w:autoSpaceDE/>
        <w:autoSpaceDN/>
        <w:bidi w:val="0"/>
        <w:adjustRightInd w:val="0"/>
        <w:snapToGrid/>
        <w:spacing w:beforeLines="0" w:line="360" w:lineRule="auto"/>
        <w:ind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（2）生态环境局或其它环境监测执法部门来我院采样抽检，若发现污水排放不达标，每项每次扣罚3000元，同时依据综合评价表做对应的扣分和上述（1）中的扣罚措施。</w:t>
      </w:r>
    </w:p>
    <w:p>
      <w:pPr>
        <w:spacing w:line="229" w:lineRule="auto"/>
        <w:jc w:val="center"/>
        <w:rPr>
          <w:rFonts w:hint="eastAsia" w:ascii="宋体" w:hAnsi="宋体" w:eastAsia="宋体" w:cs="宋体"/>
          <w:b w:val="0"/>
          <w:bCs/>
          <w:sz w:val="24"/>
          <w:szCs w:val="24"/>
          <w:lang w:val="en-US" w:eastAsia="zh-CN"/>
        </w:rPr>
      </w:pPr>
    </w:p>
    <w:p>
      <w:pPr>
        <w:spacing w:line="229" w:lineRule="auto"/>
        <w:jc w:val="center"/>
        <w:rPr>
          <w:rFonts w:hint="eastAsia" w:ascii="宋体" w:hAnsi="宋体" w:eastAsia="宋体" w:cs="宋体"/>
          <w:b w:val="0"/>
          <w:bCs/>
          <w:sz w:val="24"/>
          <w:szCs w:val="24"/>
          <w:lang w:val="en-US" w:eastAsia="zh-CN"/>
        </w:rPr>
      </w:pPr>
    </w:p>
    <w:p>
      <w:pPr>
        <w:spacing w:line="229" w:lineRule="auto"/>
        <w:jc w:val="center"/>
        <w:rPr>
          <w:rFonts w:hint="eastAsia" w:ascii="宋体" w:hAnsi="宋体" w:eastAsia="宋体" w:cs="宋体"/>
          <w:b w:val="0"/>
          <w:bCs/>
          <w:sz w:val="24"/>
          <w:szCs w:val="24"/>
          <w:lang w:val="en-US" w:eastAsia="zh-CN"/>
        </w:rPr>
      </w:pPr>
    </w:p>
    <w:p>
      <w:pPr>
        <w:spacing w:line="229" w:lineRule="auto"/>
        <w:jc w:val="center"/>
        <w:rPr>
          <w:rFonts w:hint="eastAsia" w:ascii="宋体" w:hAnsi="宋体" w:eastAsia="宋体" w:cs="宋体"/>
          <w:b w:val="0"/>
          <w:bCs/>
          <w:sz w:val="24"/>
          <w:szCs w:val="24"/>
          <w:lang w:val="en-US" w:eastAsia="zh-CN"/>
        </w:rPr>
      </w:pPr>
    </w:p>
    <w:p>
      <w:pPr>
        <w:spacing w:line="229" w:lineRule="auto"/>
        <w:jc w:val="center"/>
        <w:rPr>
          <w:rFonts w:hint="eastAsia" w:ascii="宋体" w:hAnsi="宋体" w:eastAsia="宋体" w:cs="宋体"/>
          <w:b w:val="0"/>
          <w:bCs/>
          <w:sz w:val="24"/>
          <w:szCs w:val="24"/>
          <w:lang w:val="en-US" w:eastAsia="zh-CN"/>
        </w:rPr>
      </w:pPr>
    </w:p>
    <w:p>
      <w:pPr>
        <w:spacing w:line="229" w:lineRule="auto"/>
        <w:jc w:val="center"/>
        <w:rPr>
          <w:rFonts w:hint="eastAsia" w:ascii="宋体" w:hAnsi="宋体" w:eastAsia="宋体" w:cs="宋体"/>
          <w:b w:val="0"/>
          <w:bCs/>
          <w:sz w:val="24"/>
          <w:szCs w:val="24"/>
          <w:lang w:val="en-US" w:eastAsia="zh-CN"/>
        </w:rPr>
      </w:pPr>
    </w:p>
    <w:p>
      <w:pPr>
        <w:spacing w:line="229" w:lineRule="auto"/>
        <w:jc w:val="center"/>
        <w:rPr>
          <w:rFonts w:hint="eastAsia" w:ascii="宋体" w:hAnsi="宋体" w:eastAsia="宋体" w:cs="宋体"/>
          <w:b w:val="0"/>
          <w:bCs/>
          <w:sz w:val="24"/>
          <w:szCs w:val="24"/>
          <w:lang w:val="en-US" w:eastAsia="zh-CN"/>
        </w:rPr>
      </w:pPr>
    </w:p>
    <w:p>
      <w:pPr>
        <w:spacing w:line="229" w:lineRule="auto"/>
        <w:jc w:val="center"/>
        <w:rPr>
          <w:rFonts w:hint="eastAsia" w:ascii="宋体" w:hAnsi="宋体" w:eastAsia="宋体" w:cs="宋体"/>
          <w:b w:val="0"/>
          <w:bCs/>
          <w:sz w:val="24"/>
          <w:szCs w:val="24"/>
          <w:lang w:val="en-US" w:eastAsia="zh-CN"/>
        </w:rPr>
      </w:pPr>
    </w:p>
    <w:p>
      <w:pPr>
        <w:spacing w:line="229" w:lineRule="auto"/>
        <w:jc w:val="center"/>
        <w:rPr>
          <w:rFonts w:hint="eastAsia" w:ascii="宋体" w:hAnsi="宋体" w:eastAsia="宋体" w:cs="宋体"/>
          <w:b w:val="0"/>
          <w:bCs/>
          <w:sz w:val="24"/>
          <w:szCs w:val="24"/>
          <w:lang w:val="en-US" w:eastAsia="zh-CN"/>
        </w:rPr>
      </w:pPr>
    </w:p>
    <w:p>
      <w:pPr>
        <w:spacing w:line="229" w:lineRule="auto"/>
        <w:jc w:val="both"/>
        <w:rPr>
          <w:rFonts w:hint="eastAsia" w:ascii="宋体" w:hAnsi="宋体" w:eastAsia="宋体" w:cs="宋体"/>
          <w:b w:val="0"/>
          <w:bCs/>
          <w:sz w:val="24"/>
          <w:szCs w:val="24"/>
          <w:lang w:val="en-US" w:eastAsia="zh-CN"/>
        </w:rPr>
      </w:pPr>
    </w:p>
    <w:p>
      <w:pPr>
        <w:spacing w:line="229" w:lineRule="auto"/>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附件一：广州市番禺区第七人民医院污水处理运营管理等服务综合评价表（</w:t>
      </w:r>
      <w:r>
        <w:rPr>
          <w:rFonts w:hint="eastAsia" w:ascii="黑体" w:hAnsi="黑体" w:eastAsia="黑体" w:cs="黑体"/>
          <w:b w:val="0"/>
          <w:bCs/>
          <w:sz w:val="21"/>
          <w:szCs w:val="21"/>
          <w:u w:val="single"/>
          <w:lang w:val="en-US" w:eastAsia="zh-CN"/>
        </w:rPr>
        <w:t xml:space="preserve">  </w:t>
      </w:r>
      <w:r>
        <w:rPr>
          <w:rFonts w:hint="eastAsia" w:ascii="黑体" w:hAnsi="黑体" w:eastAsia="黑体" w:cs="黑体"/>
          <w:b w:val="0"/>
          <w:bCs/>
          <w:sz w:val="21"/>
          <w:szCs w:val="21"/>
          <w:u w:val="none"/>
          <w:lang w:val="en-US" w:eastAsia="zh-CN"/>
        </w:rPr>
        <w:t>年</w:t>
      </w:r>
      <w:r>
        <w:rPr>
          <w:rFonts w:hint="eastAsia" w:ascii="黑体" w:hAnsi="黑体" w:eastAsia="黑体" w:cs="黑体"/>
          <w:b w:val="0"/>
          <w:bCs/>
          <w:sz w:val="21"/>
          <w:szCs w:val="21"/>
          <w:u w:val="single"/>
          <w:lang w:val="en-US" w:eastAsia="zh-CN"/>
        </w:rPr>
        <w:t xml:space="preserve">  </w:t>
      </w:r>
      <w:r>
        <w:rPr>
          <w:rFonts w:hint="eastAsia" w:ascii="黑体" w:hAnsi="黑体" w:eastAsia="黑体" w:cs="黑体"/>
          <w:b w:val="0"/>
          <w:bCs/>
          <w:sz w:val="21"/>
          <w:szCs w:val="21"/>
          <w:u w:val="none"/>
          <w:lang w:val="en-US" w:eastAsia="zh-CN"/>
        </w:rPr>
        <w:t>月</w:t>
      </w:r>
      <w:r>
        <w:rPr>
          <w:rFonts w:hint="eastAsia" w:ascii="黑体" w:hAnsi="黑体" w:eastAsia="黑体" w:cs="黑体"/>
          <w:b w:val="0"/>
          <w:bCs/>
          <w:sz w:val="21"/>
          <w:szCs w:val="21"/>
          <w:lang w:val="en-US" w:eastAsia="zh-CN"/>
        </w:rPr>
        <w:t>）</w:t>
      </w:r>
    </w:p>
    <w:p>
      <w:pPr>
        <w:spacing w:line="229" w:lineRule="auto"/>
        <w:jc w:val="center"/>
        <w:rPr>
          <w:rFonts w:hint="eastAsia" w:ascii="黑体" w:hAnsi="黑体" w:eastAsia="黑体" w:cs="黑体"/>
          <w:b w:val="0"/>
          <w:bCs/>
          <w:sz w:val="21"/>
          <w:szCs w:val="21"/>
          <w:lang w:val="en-US" w:eastAsia="zh-CN"/>
        </w:rPr>
      </w:pPr>
    </w:p>
    <w:tbl>
      <w:tblPr>
        <w:tblStyle w:val="7"/>
        <w:tblW w:w="0" w:type="auto"/>
        <w:tblInd w:w="630" w:type="dxa"/>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Layout w:type="fixed"/>
        <w:tblCellMar>
          <w:top w:w="0" w:type="dxa"/>
          <w:left w:w="108" w:type="dxa"/>
          <w:bottom w:w="0" w:type="dxa"/>
          <w:right w:w="108" w:type="dxa"/>
        </w:tblCellMar>
      </w:tblPr>
      <w:tblGrid>
        <w:gridCol w:w="1208"/>
        <w:gridCol w:w="770"/>
        <w:gridCol w:w="2868"/>
        <w:gridCol w:w="1064"/>
        <w:gridCol w:w="961"/>
        <w:gridCol w:w="694"/>
      </w:tblGrid>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cs="宋体"/>
                <w:b/>
                <w:bCs/>
              </w:rPr>
            </w:pPr>
            <w:r>
              <w:rPr>
                <w:rFonts w:hint="eastAsia" w:ascii="宋体" w:hAnsi="宋体" w:cs="宋体"/>
                <w:b/>
                <w:bCs/>
                <w:szCs w:val="24"/>
                <w:lang w:bidi="ar"/>
              </w:rPr>
              <w:t>类别</w:t>
            </w:r>
          </w:p>
        </w:tc>
        <w:tc>
          <w:tcPr>
            <w:tcW w:w="770" w:type="dxa"/>
            <w:tcBorders>
              <w:top w:val="single" w:color="000000" w:sz="4" w:space="0"/>
              <w:left w:val="nil"/>
              <w:bottom w:val="single" w:color="000000" w:sz="4" w:space="0"/>
              <w:right w:val="single" w:color="000000" w:sz="4" w:space="0"/>
            </w:tcBorders>
            <w:shd w:val="clear" w:color="auto" w:fill="auto"/>
          </w:tcPr>
          <w:p>
            <w:pPr>
              <w:jc w:val="center"/>
              <w:rPr>
                <w:rFonts w:ascii="宋体" w:hAnsi="宋体" w:cs="宋体"/>
                <w:b/>
                <w:bCs/>
              </w:rPr>
            </w:pPr>
            <w:r>
              <w:rPr>
                <w:rFonts w:hint="eastAsia" w:ascii="宋体" w:hAnsi="宋体" w:cs="宋体"/>
                <w:b/>
                <w:bCs/>
                <w:szCs w:val="24"/>
                <w:lang w:bidi="ar"/>
              </w:rPr>
              <w:t>序号</w:t>
            </w:r>
          </w:p>
        </w:tc>
        <w:tc>
          <w:tcPr>
            <w:tcW w:w="2868" w:type="dxa"/>
            <w:tcBorders>
              <w:top w:val="single" w:color="000000" w:sz="4" w:space="0"/>
              <w:left w:val="nil"/>
              <w:bottom w:val="single" w:color="000000" w:sz="4" w:space="0"/>
              <w:right w:val="single" w:color="000000" w:sz="4" w:space="0"/>
            </w:tcBorders>
            <w:shd w:val="clear" w:color="auto" w:fill="auto"/>
          </w:tcPr>
          <w:p>
            <w:pPr>
              <w:jc w:val="center"/>
              <w:rPr>
                <w:rFonts w:ascii="宋体" w:hAnsi="宋体" w:cs="宋体"/>
                <w:b/>
                <w:bCs/>
              </w:rPr>
            </w:pPr>
            <w:r>
              <w:rPr>
                <w:rFonts w:hint="eastAsia" w:ascii="宋体" w:hAnsi="宋体" w:cs="宋体"/>
                <w:b/>
                <w:bCs/>
                <w:szCs w:val="24"/>
                <w:lang w:bidi="ar"/>
              </w:rPr>
              <w:t>考核内容</w:t>
            </w:r>
          </w:p>
        </w:tc>
        <w:tc>
          <w:tcPr>
            <w:tcW w:w="10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b/>
                <w:bCs/>
              </w:rPr>
            </w:pPr>
            <w:r>
              <w:rPr>
                <w:rFonts w:hint="eastAsia" w:ascii="宋体" w:hAnsi="宋体" w:cs="宋体"/>
                <w:b/>
                <w:bCs/>
                <w:szCs w:val="24"/>
                <w:lang w:bidi="ar"/>
              </w:rPr>
              <w:t>扣分原因</w:t>
            </w:r>
          </w:p>
        </w:tc>
        <w:tc>
          <w:tcPr>
            <w:tcW w:w="961"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宋体" w:hAnsi="宋体" w:eastAsia="宋体" w:cs="宋体"/>
                <w:b/>
                <w:bCs/>
                <w:lang w:val="en-US" w:eastAsia="zh-CN"/>
              </w:rPr>
            </w:pPr>
            <w:r>
              <w:rPr>
                <w:rFonts w:hint="eastAsia" w:ascii="宋体" w:hAnsi="宋体" w:eastAsia="宋体" w:cs="宋体"/>
                <w:b/>
                <w:bCs/>
                <w:szCs w:val="24"/>
                <w:lang w:val="en-US" w:eastAsia="zh-CN" w:bidi="ar"/>
              </w:rPr>
              <w:t>扣</w:t>
            </w:r>
            <w:r>
              <w:rPr>
                <w:rFonts w:hint="eastAsia" w:ascii="宋体" w:hAnsi="宋体" w:cs="宋体"/>
                <w:b/>
                <w:bCs/>
                <w:szCs w:val="24"/>
                <w:lang w:bidi="ar"/>
              </w:rPr>
              <w:t>分</w:t>
            </w:r>
            <w:r>
              <w:rPr>
                <w:rFonts w:hint="eastAsia" w:ascii="宋体" w:hAnsi="宋体" w:eastAsia="宋体" w:cs="宋体"/>
                <w:b/>
                <w:bCs/>
                <w:szCs w:val="24"/>
                <w:lang w:val="en-US" w:eastAsia="zh-CN" w:bidi="ar"/>
              </w:rPr>
              <w:t>值</w:t>
            </w:r>
          </w:p>
        </w:tc>
        <w:tc>
          <w:tcPr>
            <w:tcW w:w="694"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ascii="宋体" w:hAnsi="宋体" w:cs="宋体"/>
                <w:b/>
                <w:bCs/>
              </w:rPr>
            </w:pPr>
            <w:r>
              <w:rPr>
                <w:rFonts w:hint="eastAsia" w:ascii="宋体" w:hAnsi="宋体" w:cs="宋体"/>
                <w:b/>
                <w:bCs/>
                <w:szCs w:val="24"/>
                <w:lang w:bidi="ar"/>
              </w:rPr>
              <w:t>备注</w:t>
            </w: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restart"/>
            <w:tcBorders>
              <w:top w:val="nil"/>
              <w:left w:val="single" w:color="000000" w:sz="4" w:space="0"/>
              <w:bottom w:val="single" w:color="auto" w:sz="4" w:space="0"/>
              <w:right w:val="single" w:color="000000" w:sz="4" w:space="0"/>
            </w:tcBorders>
            <w:shd w:val="clear" w:color="auto" w:fill="auto"/>
            <w:vAlign w:val="center"/>
          </w:tcPr>
          <w:p>
            <w:pPr>
              <w:jc w:val="center"/>
              <w:rPr>
                <w:rFonts w:ascii="宋体" w:hAnsi="宋体" w:cs="宋体"/>
              </w:rPr>
            </w:pPr>
            <w:r>
              <w:rPr>
                <w:rFonts w:hint="eastAsia" w:ascii="宋体" w:hAnsi="宋体" w:cs="宋体"/>
                <w:szCs w:val="24"/>
                <w:lang w:bidi="ar"/>
              </w:rPr>
              <w:t>一、水质与药品管理</w:t>
            </w:r>
          </w:p>
        </w:tc>
        <w:tc>
          <w:tcPr>
            <w:tcW w:w="77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rPr>
            </w:pPr>
            <w:r>
              <w:rPr>
                <w:rFonts w:ascii="宋体" w:hAnsi="宋体" w:cs="宋体"/>
                <w:b/>
                <w:szCs w:val="24"/>
                <w:lang w:bidi="ar"/>
              </w:rPr>
              <w:t>1</w:t>
            </w:r>
          </w:p>
        </w:tc>
        <w:tc>
          <w:tcPr>
            <w:tcW w:w="2868"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rPr>
            </w:pPr>
            <w:r>
              <w:rPr>
                <w:rFonts w:hint="eastAsia" w:ascii="宋体" w:hAnsi="宋体" w:cs="宋体"/>
                <w:szCs w:val="24"/>
                <w:lang w:bidi="ar"/>
              </w:rPr>
              <w:t>提供消证字号许可证的药品，无合格许可证需提供《卫生安全评价报告》及卫计委出具合格的《消毒产品卫生安全评价报告》，不符合要求扣</w:t>
            </w:r>
            <w:r>
              <w:rPr>
                <w:rFonts w:hint="eastAsia" w:ascii="宋体" w:hAnsi="宋体" w:eastAsia="宋体" w:cs="宋体"/>
                <w:szCs w:val="24"/>
                <w:lang w:val="en-US" w:eastAsia="zh-CN" w:bidi="ar"/>
              </w:rPr>
              <w:t>5</w:t>
            </w:r>
            <w:r>
              <w:rPr>
                <w:rFonts w:ascii="宋体" w:hAnsi="宋体" w:cs="宋体"/>
                <w:szCs w:val="24"/>
                <w:lang w:bidi="ar"/>
              </w:rPr>
              <w:t>分/次。</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restart"/>
            <w:tcBorders>
              <w:top w:val="nil"/>
              <w:left w:val="single" w:color="auto" w:sz="4" w:space="0"/>
              <w:right w:val="single" w:color="000000" w:sz="4" w:space="0"/>
            </w:tcBorders>
            <w:shd w:val="clear" w:color="auto" w:fill="auto"/>
            <w:vAlign w:val="center"/>
          </w:tcPr>
          <w:p>
            <w:pPr>
              <w:jc w:val="center"/>
              <w:rPr>
                <w:rFonts w:ascii="宋体" w:hAnsi="宋体" w:cs="宋体"/>
              </w:rPr>
            </w:pPr>
          </w:p>
        </w:tc>
        <w:tc>
          <w:tcPr>
            <w:tcW w:w="694" w:type="dxa"/>
            <w:tcBorders>
              <w:top w:val="nil"/>
              <w:left w:val="single" w:color="auto" w:sz="4" w:space="0"/>
              <w:bottom w:val="single" w:color="000000" w:sz="4" w:space="0"/>
              <w:right w:val="single" w:color="000000"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ascii="宋体" w:hAnsi="宋体" w:cs="宋体"/>
                <w:szCs w:val="22"/>
              </w:rPr>
            </w:pPr>
          </w:p>
        </w:tc>
        <w:tc>
          <w:tcPr>
            <w:tcW w:w="77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rPr>
            </w:pPr>
            <w:r>
              <w:rPr>
                <w:rFonts w:ascii="宋体" w:hAnsi="宋体" w:cs="宋体"/>
                <w:b/>
                <w:szCs w:val="24"/>
                <w:lang w:bidi="ar"/>
              </w:rPr>
              <w:t>2</w:t>
            </w:r>
          </w:p>
        </w:tc>
        <w:tc>
          <w:tcPr>
            <w:tcW w:w="2868"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rPr>
            </w:pPr>
            <w:r>
              <w:rPr>
                <w:rFonts w:hint="eastAsia" w:ascii="宋体" w:hAnsi="宋体" w:cs="宋体"/>
                <w:szCs w:val="24"/>
                <w:lang w:bidi="ar"/>
              </w:rPr>
              <w:t>污水水质排放指标达到《医疗机构水污染物排放标准》及《污水排入城镇下水道水质标准》，不符合要求扣</w:t>
            </w:r>
            <w:r>
              <w:rPr>
                <w:rFonts w:hint="eastAsia" w:ascii="宋体" w:hAnsi="宋体" w:eastAsia="宋体" w:cs="宋体"/>
                <w:szCs w:val="24"/>
                <w:lang w:val="en-US" w:eastAsia="zh-CN" w:bidi="ar"/>
              </w:rPr>
              <w:t>10</w:t>
            </w:r>
            <w:r>
              <w:rPr>
                <w:rFonts w:ascii="宋体" w:hAnsi="宋体" w:cs="宋体"/>
                <w:szCs w:val="24"/>
                <w:lang w:bidi="ar"/>
              </w:rPr>
              <w:t>分/次/项。</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continue"/>
            <w:tcBorders>
              <w:left w:val="single" w:color="auto" w:sz="4" w:space="0"/>
              <w:right w:val="single" w:color="000000" w:sz="4" w:space="0"/>
            </w:tcBorders>
            <w:shd w:val="clear" w:color="auto" w:fill="auto"/>
            <w:vAlign w:val="center"/>
          </w:tcPr>
          <w:p>
            <w:pPr>
              <w:jc w:val="center"/>
              <w:rPr>
                <w:rFonts w:ascii="宋体" w:hAnsi="宋体" w:cs="宋体"/>
              </w:rPr>
            </w:pPr>
          </w:p>
        </w:tc>
        <w:tc>
          <w:tcPr>
            <w:tcW w:w="694" w:type="dxa"/>
            <w:tcBorders>
              <w:top w:val="nil"/>
              <w:left w:val="single" w:color="auto" w:sz="4" w:space="0"/>
              <w:bottom w:val="single" w:color="000000" w:sz="4" w:space="0"/>
              <w:right w:val="single" w:color="000000"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restart"/>
            <w:tcBorders>
              <w:top w:val="single" w:color="auto" w:sz="4" w:space="0"/>
              <w:left w:val="single" w:color="auto" w:sz="4" w:space="0"/>
              <w:right w:val="single" w:color="auto" w:sz="4" w:space="0"/>
            </w:tcBorders>
            <w:shd w:val="clear" w:color="auto" w:fill="auto"/>
            <w:vAlign w:val="center"/>
          </w:tcPr>
          <w:p>
            <w:pPr>
              <w:numPr>
                <w:ilvl w:val="0"/>
                <w:numId w:val="31"/>
              </w:numPr>
              <w:jc w:val="center"/>
              <w:rPr>
                <w:rFonts w:ascii="宋体" w:hAnsi="宋体" w:cs="宋体"/>
                <w:szCs w:val="24"/>
                <w:lang w:bidi="ar"/>
              </w:rPr>
            </w:pPr>
            <w:r>
              <w:rPr>
                <w:rFonts w:hint="eastAsia" w:ascii="宋体" w:hAnsi="宋体" w:cs="宋体"/>
                <w:szCs w:val="24"/>
                <w:lang w:bidi="ar"/>
              </w:rPr>
              <w:t>人员持证、劳动纪律及应急预案</w:t>
            </w:r>
          </w:p>
          <w:p>
            <w:pPr>
              <w:numPr>
                <w:ilvl w:val="255"/>
                <w:numId w:val="0"/>
              </w:numPr>
              <w:jc w:val="center"/>
              <w:rPr>
                <w:rFonts w:ascii="宋体" w:hAnsi="宋体" w:cs="宋体"/>
              </w:rPr>
            </w:pPr>
          </w:p>
          <w:p>
            <w:pPr>
              <w:numPr>
                <w:ilvl w:val="255"/>
                <w:numId w:val="0"/>
              </w:numPr>
              <w:jc w:val="center"/>
              <w:rPr>
                <w:rFonts w:ascii="宋体" w:hAnsi="宋体" w:cs="宋体"/>
              </w:rPr>
            </w:pPr>
          </w:p>
          <w:p>
            <w:pPr>
              <w:numPr>
                <w:ilvl w:val="255"/>
                <w:numId w:val="0"/>
              </w:numPr>
              <w:jc w:val="center"/>
              <w:rPr>
                <w:rFonts w:ascii="宋体" w:hAnsi="宋体" w:cs="宋体"/>
              </w:rPr>
            </w:pPr>
          </w:p>
          <w:p>
            <w:pPr>
              <w:numPr>
                <w:ilvl w:val="255"/>
                <w:numId w:val="0"/>
              </w:numPr>
              <w:jc w:val="center"/>
              <w:rPr>
                <w:rFonts w:ascii="宋体" w:hAnsi="宋体" w:cs="宋体"/>
              </w:rPr>
            </w:pPr>
          </w:p>
          <w:p>
            <w:pPr>
              <w:numPr>
                <w:ilvl w:val="255"/>
                <w:numId w:val="0"/>
              </w:numPr>
              <w:jc w:val="center"/>
              <w:rPr>
                <w:rFonts w:ascii="宋体" w:hAnsi="宋体" w:cs="宋体"/>
              </w:rPr>
            </w:pPr>
          </w:p>
          <w:p>
            <w:pPr>
              <w:numPr>
                <w:ilvl w:val="255"/>
                <w:numId w:val="0"/>
              </w:numPr>
              <w:jc w:val="center"/>
              <w:rPr>
                <w:rFonts w:ascii="宋体" w:hAnsi="宋体" w:cs="宋体"/>
              </w:rPr>
            </w:pPr>
          </w:p>
          <w:p>
            <w:pPr>
              <w:numPr>
                <w:ilvl w:val="255"/>
                <w:numId w:val="0"/>
              </w:numPr>
              <w:jc w:val="center"/>
              <w:rPr>
                <w:rFonts w:ascii="宋体" w:hAnsi="宋体" w:cs="宋体"/>
              </w:rPr>
            </w:pPr>
          </w:p>
          <w:p>
            <w:pPr>
              <w:numPr>
                <w:ilvl w:val="255"/>
                <w:numId w:val="0"/>
              </w:numPr>
              <w:jc w:val="center"/>
              <w:rPr>
                <w:rFonts w:ascii="宋体" w:hAnsi="宋体" w:cs="宋体"/>
              </w:rPr>
            </w:pPr>
          </w:p>
          <w:p>
            <w:pPr>
              <w:numPr>
                <w:ilvl w:val="255"/>
                <w:numId w:val="0"/>
              </w:numPr>
              <w:jc w:val="center"/>
              <w:rPr>
                <w:rFonts w:ascii="宋体" w:hAnsi="宋体" w:cs="宋体"/>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lang w:eastAsia="zh-CN"/>
              </w:rPr>
            </w:pPr>
            <w:r>
              <w:rPr>
                <w:rFonts w:hint="eastAsia" w:ascii="宋体" w:hAnsi="宋体" w:eastAsia="宋体" w:cs="宋体"/>
                <w:b/>
                <w:szCs w:val="24"/>
                <w:lang w:val="en-US" w:eastAsia="zh-CN" w:bidi="ar"/>
              </w:rPr>
              <w:t>3</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rPr>
            </w:pPr>
            <w:r>
              <w:rPr>
                <w:rFonts w:hint="eastAsia" w:ascii="宋体" w:hAnsi="宋体" w:cs="宋体"/>
                <w:szCs w:val="24"/>
                <w:lang w:bidi="ar"/>
              </w:rPr>
              <w:t>污水站运营工作人员健立专业岗前培训等培训档案记录，定期开展院方要求的各项培训并提交培训记录，不符合要求扣</w:t>
            </w:r>
            <w:r>
              <w:rPr>
                <w:rFonts w:hint="eastAsia" w:ascii="宋体" w:hAnsi="宋体" w:eastAsia="宋体" w:cs="宋体"/>
                <w:szCs w:val="24"/>
                <w:lang w:val="en-US" w:eastAsia="zh-CN" w:bidi="ar"/>
              </w:rPr>
              <w:t>2</w:t>
            </w:r>
            <w:r>
              <w:rPr>
                <w:rFonts w:ascii="宋体" w:hAnsi="宋体" w:cs="宋体"/>
                <w:szCs w:val="24"/>
                <w:lang w:bidi="ar"/>
              </w:rPr>
              <w:t>分/次/人/项。</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continue"/>
            <w:tcBorders>
              <w:left w:val="single" w:color="auto" w:sz="4" w:space="0"/>
              <w:right w:val="single" w:color="auto" w:sz="4" w:space="0"/>
            </w:tcBorders>
            <w:shd w:val="clear" w:color="auto" w:fill="auto"/>
            <w:vAlign w:val="center"/>
          </w:tcPr>
          <w:p>
            <w:pPr>
              <w:jc w:val="center"/>
              <w:rPr>
                <w:rFonts w:ascii="宋体" w:hAnsi="宋体" w:cs="宋体"/>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lang w:eastAsia="zh-CN"/>
              </w:rPr>
            </w:pPr>
            <w:r>
              <w:rPr>
                <w:rFonts w:hint="eastAsia" w:ascii="宋体" w:hAnsi="宋体" w:eastAsia="宋体" w:cs="宋体"/>
                <w:b/>
                <w:szCs w:val="24"/>
                <w:lang w:val="en-US" w:eastAsia="zh-CN" w:bidi="ar"/>
              </w:rPr>
              <w:t>4</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rPr>
            </w:pPr>
            <w:r>
              <w:rPr>
                <w:rFonts w:hint="eastAsia" w:ascii="宋体" w:hAnsi="宋体" w:cs="宋体"/>
                <w:szCs w:val="24"/>
                <w:lang w:bidi="ar"/>
              </w:rPr>
              <w:t>公司有健全的污水站的人员组织架构、工作制度、岗位职责、技术操作规程和应急预案，需挂上墙并及时按要求更新，不符合要求扣</w:t>
            </w:r>
            <w:r>
              <w:rPr>
                <w:rFonts w:hint="eastAsia" w:ascii="宋体" w:hAnsi="宋体" w:eastAsia="宋体" w:cs="宋体"/>
                <w:szCs w:val="24"/>
                <w:lang w:val="en-US" w:eastAsia="zh-CN" w:bidi="ar"/>
              </w:rPr>
              <w:t>2</w:t>
            </w:r>
            <w:r>
              <w:rPr>
                <w:rFonts w:ascii="宋体" w:hAnsi="宋体" w:cs="宋体"/>
                <w:szCs w:val="24"/>
                <w:lang w:bidi="ar"/>
              </w:rPr>
              <w:t>分/项。</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continue"/>
            <w:tcBorders>
              <w:left w:val="single" w:color="auto" w:sz="4" w:space="0"/>
              <w:right w:val="single" w:color="auto" w:sz="4" w:space="0"/>
            </w:tcBorders>
            <w:shd w:val="clear" w:color="auto" w:fill="auto"/>
            <w:vAlign w:val="center"/>
          </w:tcPr>
          <w:p>
            <w:pPr>
              <w:jc w:val="center"/>
              <w:rPr>
                <w:rFonts w:ascii="宋体" w:hAnsi="宋体" w:cs="宋体"/>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continue"/>
            <w:tcBorders>
              <w:left w:val="single" w:color="auto" w:sz="4" w:space="0"/>
              <w:right w:val="single" w:color="auto" w:sz="4" w:space="0"/>
            </w:tcBorders>
            <w:shd w:val="clear" w:color="auto" w:fill="auto"/>
            <w:vAlign w:val="center"/>
          </w:tcPr>
          <w:p>
            <w:pPr>
              <w:jc w:val="center"/>
              <w:rPr>
                <w:rFonts w:ascii="宋体" w:hAnsi="宋体" w:cs="宋体"/>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lang w:eastAsia="zh-CN"/>
              </w:rPr>
            </w:pPr>
            <w:r>
              <w:rPr>
                <w:rFonts w:hint="eastAsia" w:ascii="宋体" w:hAnsi="宋体" w:eastAsia="宋体" w:cs="宋体"/>
                <w:b/>
                <w:szCs w:val="24"/>
                <w:lang w:val="en-US" w:eastAsia="zh-CN" w:bidi="ar"/>
              </w:rPr>
              <w:t>5</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rPr>
            </w:pPr>
            <w:r>
              <w:rPr>
                <w:rFonts w:hint="eastAsia" w:ascii="宋体" w:hAnsi="宋体" w:cs="宋体"/>
                <w:szCs w:val="24"/>
                <w:lang w:bidi="ar"/>
              </w:rPr>
              <w:t>中标人员工严格执行有关安全操作规程；加强安全防范教育培训，避免作业期间发生意外事故，不符合要求扣</w:t>
            </w:r>
            <w:r>
              <w:rPr>
                <w:rFonts w:hint="eastAsia" w:ascii="宋体" w:hAnsi="宋体" w:eastAsia="宋体" w:cs="宋体"/>
                <w:szCs w:val="24"/>
                <w:lang w:val="en-US" w:eastAsia="zh-CN" w:bidi="ar"/>
              </w:rPr>
              <w:t>2</w:t>
            </w:r>
            <w:r>
              <w:rPr>
                <w:rFonts w:ascii="宋体" w:hAnsi="宋体" w:cs="宋体"/>
                <w:szCs w:val="24"/>
                <w:lang w:bidi="ar"/>
              </w:rPr>
              <w:t>分/项。</w:t>
            </w:r>
            <w:r>
              <w:rPr>
                <w:rFonts w:hint="default" w:ascii="宋体" w:hAnsi="宋体" w:cs="宋体"/>
                <w:szCs w:val="21"/>
                <w:lang w:eastAsia="zh-CN" w:bidi="ar"/>
              </w:rPr>
              <w:t>违反采购人相关规章制度与管理办法视情节轻重，扣1-5分/次。迟到早退扣0.5分/人次，旷工扣5分/人次。</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continue"/>
            <w:tcBorders>
              <w:left w:val="single" w:color="auto" w:sz="4" w:space="0"/>
              <w:right w:val="single" w:color="auto" w:sz="4" w:space="0"/>
            </w:tcBorders>
            <w:shd w:val="clear" w:color="auto" w:fill="auto"/>
            <w:vAlign w:val="center"/>
          </w:tcPr>
          <w:p>
            <w:pPr>
              <w:jc w:val="center"/>
              <w:rPr>
                <w:rFonts w:ascii="宋体" w:hAnsi="宋体" w:cs="宋体"/>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continue"/>
            <w:tcBorders>
              <w:left w:val="single" w:color="auto" w:sz="4" w:space="0"/>
              <w:right w:val="single" w:color="auto" w:sz="4" w:space="0"/>
            </w:tcBorders>
            <w:shd w:val="clear" w:color="auto" w:fill="auto"/>
            <w:vAlign w:val="center"/>
          </w:tcPr>
          <w:p>
            <w:pPr>
              <w:jc w:val="center"/>
              <w:rPr>
                <w:rFonts w:ascii="宋体" w:hAnsi="宋体" w:cs="宋体"/>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lang w:eastAsia="zh-CN"/>
              </w:rPr>
            </w:pPr>
            <w:r>
              <w:rPr>
                <w:rFonts w:hint="eastAsia" w:ascii="宋体" w:hAnsi="宋体" w:eastAsia="宋体" w:cs="宋体"/>
                <w:b/>
                <w:szCs w:val="24"/>
                <w:lang w:val="en-US" w:eastAsia="zh-CN" w:bidi="ar"/>
              </w:rPr>
              <w:t>6</w:t>
            </w:r>
          </w:p>
        </w:tc>
        <w:tc>
          <w:tcPr>
            <w:tcW w:w="2868" w:type="dxa"/>
            <w:tcBorders>
              <w:top w:val="nil"/>
              <w:left w:val="single" w:color="auto" w:sz="4" w:space="0"/>
              <w:bottom w:val="single" w:color="000000" w:sz="4" w:space="0"/>
              <w:right w:val="single" w:color="000000" w:sz="4" w:space="0"/>
            </w:tcBorders>
            <w:shd w:val="clear" w:color="auto" w:fill="auto"/>
            <w:vAlign w:val="center"/>
          </w:tcPr>
          <w:p>
            <w:pPr>
              <w:jc w:val="left"/>
              <w:rPr>
                <w:rFonts w:ascii="宋体" w:hAnsi="宋体" w:cs="宋体"/>
              </w:rPr>
            </w:pPr>
            <w:r>
              <w:rPr>
                <w:rFonts w:hint="eastAsia" w:ascii="宋体" w:hAnsi="宋体" w:cs="宋体"/>
                <w:szCs w:val="24"/>
                <w:lang w:bidi="ar"/>
              </w:rPr>
              <w:t>按相关规范及标准做好污水处理的日常跟踪检测及记录，保证污水处理运营符合相关监督要求，不符合要求扣</w:t>
            </w:r>
            <w:r>
              <w:rPr>
                <w:rFonts w:hint="eastAsia" w:ascii="宋体" w:hAnsi="宋体" w:eastAsia="宋体" w:cs="宋体"/>
                <w:szCs w:val="24"/>
                <w:lang w:val="en-US" w:eastAsia="zh-CN" w:bidi="ar"/>
              </w:rPr>
              <w:t>4</w:t>
            </w:r>
            <w:r>
              <w:rPr>
                <w:rFonts w:ascii="宋体" w:hAnsi="宋体" w:cs="宋体"/>
                <w:szCs w:val="24"/>
                <w:lang w:bidi="ar"/>
              </w:rPr>
              <w:t>分/项。</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continue"/>
            <w:tcBorders>
              <w:left w:val="single" w:color="auto" w:sz="4" w:space="0"/>
              <w:bottom w:val="single" w:color="000000" w:sz="4" w:space="0"/>
              <w:right w:val="single" w:color="000000" w:sz="4" w:space="0"/>
            </w:tcBorders>
            <w:shd w:val="clear" w:color="auto" w:fill="auto"/>
            <w:vAlign w:val="center"/>
          </w:tcPr>
          <w:p>
            <w:pPr>
              <w:jc w:val="center"/>
              <w:rPr>
                <w:rFonts w:ascii="宋体" w:hAnsi="宋体" w:cs="宋体"/>
              </w:rPr>
            </w:pPr>
          </w:p>
        </w:tc>
        <w:tc>
          <w:tcPr>
            <w:tcW w:w="694" w:type="dxa"/>
            <w:tcBorders>
              <w:top w:val="nil"/>
              <w:left w:val="single" w:color="auto" w:sz="4" w:space="0"/>
              <w:bottom w:val="single" w:color="000000" w:sz="4" w:space="0"/>
              <w:right w:val="single" w:color="000000"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restart"/>
            <w:tcBorders>
              <w:left w:val="single" w:color="000000" w:sz="4" w:space="0"/>
              <w:right w:val="single" w:color="auto" w:sz="4" w:space="0"/>
            </w:tcBorders>
            <w:shd w:val="clear" w:color="auto" w:fill="auto"/>
            <w:vAlign w:val="center"/>
          </w:tcPr>
          <w:p>
            <w:pPr>
              <w:jc w:val="center"/>
              <w:rPr>
                <w:rFonts w:ascii="宋体" w:hAnsi="宋体" w:cs="宋体"/>
                <w:szCs w:val="22"/>
              </w:rPr>
            </w:pPr>
          </w:p>
          <w:p>
            <w:pPr>
              <w:bidi w:val="0"/>
              <w:jc w:val="center"/>
              <w:rPr>
                <w:rFonts w:ascii="Arial" w:hAnsi="Arial" w:eastAsia="Arial" w:cs="Arial"/>
                <w:snapToGrid w:val="0"/>
                <w:color w:val="000000"/>
                <w:kern w:val="0"/>
                <w:sz w:val="21"/>
                <w:szCs w:val="21"/>
                <w:lang w:val="en-US" w:eastAsia="en-US" w:bidi="ar-SA"/>
              </w:rPr>
            </w:pPr>
          </w:p>
          <w:p>
            <w:pPr>
              <w:bidi w:val="0"/>
              <w:jc w:val="center"/>
              <w:rPr>
                <w:lang w:val="en-US" w:eastAsia="en-US"/>
              </w:rPr>
            </w:pPr>
          </w:p>
          <w:p>
            <w:pPr>
              <w:bidi w:val="0"/>
              <w:jc w:val="center"/>
              <w:rPr>
                <w:lang w:val="en-US" w:eastAsia="en-US"/>
              </w:rPr>
            </w:pPr>
          </w:p>
          <w:p>
            <w:pPr>
              <w:bidi w:val="0"/>
              <w:jc w:val="center"/>
              <w:rPr>
                <w:lang w:val="en-US" w:eastAsia="en-US"/>
              </w:rPr>
            </w:pPr>
          </w:p>
          <w:p>
            <w:pPr>
              <w:bidi w:val="0"/>
              <w:jc w:val="center"/>
              <w:rPr>
                <w:lang w:val="en-US" w:eastAsia="en-US"/>
              </w:rPr>
            </w:pPr>
          </w:p>
          <w:p>
            <w:pPr>
              <w:bidi w:val="0"/>
              <w:jc w:val="center"/>
              <w:rPr>
                <w:lang w:val="en-US" w:eastAsia="en-US"/>
              </w:rPr>
            </w:pPr>
          </w:p>
          <w:p>
            <w:pPr>
              <w:bidi w:val="0"/>
              <w:jc w:val="center"/>
              <w:rPr>
                <w:lang w:val="en-US" w:eastAsia="en-US"/>
              </w:rPr>
            </w:pPr>
          </w:p>
          <w:p>
            <w:pPr>
              <w:bidi w:val="0"/>
              <w:jc w:val="center"/>
              <w:rPr>
                <w:lang w:val="en-US" w:eastAsia="en-US"/>
              </w:rPr>
            </w:pPr>
          </w:p>
          <w:p>
            <w:pPr>
              <w:bidi w:val="0"/>
              <w:jc w:val="center"/>
              <w:rPr>
                <w:lang w:val="en-US" w:eastAsia="en-US"/>
              </w:rPr>
            </w:pPr>
          </w:p>
          <w:p>
            <w:pPr>
              <w:bidi w:val="0"/>
              <w:jc w:val="center"/>
              <w:rPr>
                <w:rFonts w:hint="default" w:eastAsia="宋体"/>
                <w:lang w:val="en-US" w:eastAsia="zh-CN"/>
              </w:rPr>
            </w:pPr>
            <w:r>
              <w:rPr>
                <w:rFonts w:hint="eastAsia" w:eastAsia="宋体"/>
                <w:lang w:val="en-US" w:eastAsia="zh-CN"/>
              </w:rPr>
              <w:t>三、污水站管理其它规定</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lang w:eastAsia="zh-CN"/>
              </w:rPr>
            </w:pPr>
            <w:r>
              <w:rPr>
                <w:rFonts w:hint="eastAsia" w:ascii="宋体" w:hAnsi="宋体" w:eastAsia="宋体" w:cs="宋体"/>
                <w:b/>
                <w:szCs w:val="24"/>
                <w:lang w:val="en-US" w:eastAsia="zh-CN" w:bidi="ar"/>
              </w:rPr>
              <w:t>7</w:t>
            </w:r>
          </w:p>
        </w:tc>
        <w:tc>
          <w:tcPr>
            <w:tcW w:w="2868" w:type="dxa"/>
            <w:tcBorders>
              <w:top w:val="nil"/>
              <w:left w:val="single" w:color="auto" w:sz="4" w:space="0"/>
              <w:bottom w:val="single" w:color="auto" w:sz="4" w:space="0"/>
              <w:right w:val="single" w:color="000000" w:sz="4" w:space="0"/>
            </w:tcBorders>
            <w:shd w:val="clear" w:color="auto" w:fill="auto"/>
            <w:vAlign w:val="center"/>
          </w:tcPr>
          <w:p>
            <w:pPr>
              <w:jc w:val="left"/>
              <w:rPr>
                <w:rFonts w:ascii="宋体" w:hAnsi="宋体" w:cs="宋体"/>
              </w:rPr>
            </w:pPr>
            <w:r>
              <w:rPr>
                <w:rFonts w:hint="eastAsia" w:ascii="宋体" w:hAnsi="宋体" w:cs="宋体"/>
                <w:sz w:val="22"/>
                <w:szCs w:val="24"/>
                <w:lang w:bidi="ar"/>
              </w:rPr>
              <w:t>建立污水站运行数据记录</w:t>
            </w:r>
            <w:r>
              <w:rPr>
                <w:rFonts w:ascii="宋体" w:hAnsi="宋体" w:cs="宋体"/>
                <w:sz w:val="22"/>
                <w:szCs w:val="24"/>
                <w:lang w:bidi="ar"/>
              </w:rPr>
              <w:t>及台账</w:t>
            </w:r>
            <w:r>
              <w:rPr>
                <w:rFonts w:hint="eastAsia" w:ascii="宋体" w:hAnsi="宋体" w:cs="宋体"/>
                <w:sz w:val="22"/>
                <w:szCs w:val="24"/>
                <w:lang w:bidi="ar"/>
              </w:rPr>
              <w:t>，包括日常运行投放药量、污水处理量、污水站清理废渣数量、淤泥池清理记录和日常设备维护保养记录等。台帐档案需符合</w:t>
            </w:r>
            <w:r>
              <w:rPr>
                <w:rFonts w:ascii="宋体" w:hAnsi="宋体" w:cs="宋体"/>
                <w:sz w:val="22"/>
                <w:szCs w:val="24"/>
                <w:lang w:bidi="ar"/>
              </w:rPr>
              <w:t>采购人主管部门、</w:t>
            </w:r>
            <w:r>
              <w:rPr>
                <w:rFonts w:hint="eastAsia" w:ascii="宋体" w:hAnsi="宋体" w:cs="宋体"/>
                <w:sz w:val="22"/>
                <w:szCs w:val="24"/>
                <w:lang w:bidi="ar"/>
              </w:rPr>
              <w:t>环保及上级相关检查部门的检查要求。</w:t>
            </w:r>
            <w:r>
              <w:rPr>
                <w:rFonts w:ascii="宋体" w:hAnsi="宋体" w:cs="宋体"/>
                <w:sz w:val="22"/>
                <w:szCs w:val="24"/>
                <w:lang w:bidi="ar"/>
              </w:rPr>
              <w:t>各类台账记录需于采购人规定时间内上交存档。</w:t>
            </w:r>
            <w:r>
              <w:rPr>
                <w:rFonts w:hint="eastAsia" w:ascii="宋体" w:hAnsi="宋体" w:cs="宋体"/>
                <w:szCs w:val="24"/>
                <w:lang w:bidi="ar"/>
              </w:rPr>
              <w:t>不符合要求扣</w:t>
            </w:r>
            <w:r>
              <w:rPr>
                <w:rFonts w:hint="eastAsia" w:ascii="宋体" w:hAnsi="宋体" w:eastAsia="宋体" w:cs="宋体"/>
                <w:szCs w:val="24"/>
                <w:lang w:val="en-US" w:eastAsia="zh-CN" w:bidi="ar"/>
              </w:rPr>
              <w:t>3</w:t>
            </w:r>
            <w:r>
              <w:rPr>
                <w:rFonts w:hint="eastAsia" w:ascii="宋体" w:hAnsi="宋体" w:cs="宋体"/>
                <w:szCs w:val="24"/>
                <w:lang w:bidi="ar"/>
              </w:rPr>
              <w:t>分</w:t>
            </w:r>
            <w:r>
              <w:rPr>
                <w:rFonts w:ascii="宋体" w:hAnsi="宋体" w:cs="宋体"/>
                <w:szCs w:val="24"/>
                <w:lang w:bidi="ar"/>
              </w:rPr>
              <w:t>/项。</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restart"/>
            <w:tcBorders>
              <w:top w:val="nil"/>
              <w:left w:val="single" w:color="auto" w:sz="4" w:space="0"/>
              <w:right w:val="single" w:color="000000" w:sz="4" w:space="0"/>
            </w:tcBorders>
            <w:shd w:val="clear" w:color="auto" w:fill="auto"/>
            <w:vAlign w:val="center"/>
          </w:tcPr>
          <w:p>
            <w:pPr>
              <w:jc w:val="center"/>
              <w:rPr>
                <w:rFonts w:ascii="宋体" w:hAnsi="宋体" w:cs="宋体"/>
              </w:rPr>
            </w:pPr>
          </w:p>
        </w:tc>
        <w:tc>
          <w:tcPr>
            <w:tcW w:w="694" w:type="dxa"/>
            <w:tcBorders>
              <w:top w:val="nil"/>
              <w:left w:val="single" w:color="auto" w:sz="4" w:space="0"/>
              <w:bottom w:val="single" w:color="auto" w:sz="4" w:space="0"/>
              <w:right w:val="single" w:color="000000"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rPr>
          <w:trHeight w:val="1929" w:hRule="atLeast"/>
        </w:trPr>
        <w:tc>
          <w:tcPr>
            <w:tcW w:w="1208" w:type="dxa"/>
            <w:vMerge w:val="continue"/>
            <w:tcBorders>
              <w:left w:val="single" w:color="000000" w:sz="4" w:space="0"/>
              <w:right w:val="single" w:color="auto" w:sz="4" w:space="0"/>
            </w:tcBorders>
            <w:shd w:val="clear" w:color="auto" w:fill="auto"/>
            <w:vAlign w:val="center"/>
          </w:tcPr>
          <w:p>
            <w:pPr>
              <w:jc w:val="center"/>
              <w:rPr>
                <w:rFonts w:ascii="宋体" w:hAnsi="宋体" w:cs="宋体"/>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lang w:eastAsia="zh-CN"/>
              </w:rPr>
            </w:pPr>
            <w:r>
              <w:rPr>
                <w:rFonts w:hint="eastAsia" w:ascii="宋体" w:hAnsi="宋体" w:eastAsia="宋体" w:cs="宋体"/>
                <w:b/>
                <w:szCs w:val="24"/>
                <w:lang w:val="en-US" w:eastAsia="zh-CN" w:bidi="ar"/>
              </w:rPr>
              <w:t>8</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rPr>
            </w:pPr>
            <w:r>
              <w:rPr>
                <w:rFonts w:hint="eastAsia" w:ascii="宋体" w:hAnsi="宋体" w:cs="宋体"/>
                <w:szCs w:val="24"/>
                <w:lang w:bidi="ar"/>
              </w:rPr>
              <w:t>污水站主体设备（如曝气泵、调节池水泵、集水井水泵、投药泵等）运行良好，污水站无发生安全事件，若发生故障或安全事件需立即上报采购人，若上报不及时扣</w:t>
            </w:r>
            <w:r>
              <w:rPr>
                <w:rFonts w:hint="eastAsia" w:ascii="宋体" w:hAnsi="宋体" w:eastAsia="宋体" w:cs="宋体"/>
                <w:szCs w:val="24"/>
                <w:lang w:val="en-US" w:eastAsia="zh-CN" w:bidi="ar"/>
              </w:rPr>
              <w:t>2</w:t>
            </w:r>
            <w:r>
              <w:rPr>
                <w:rFonts w:ascii="宋体" w:hAnsi="宋体" w:cs="宋体"/>
                <w:szCs w:val="24"/>
                <w:lang w:bidi="ar"/>
              </w:rPr>
              <w:t>分/次。</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continue"/>
            <w:tcBorders>
              <w:left w:val="single" w:color="auto" w:sz="4" w:space="0"/>
              <w:bottom w:val="single" w:color="auto" w:sz="4" w:space="0"/>
              <w:right w:val="single" w:color="000000" w:sz="4" w:space="0"/>
            </w:tcBorders>
            <w:shd w:val="clear" w:color="auto" w:fill="auto"/>
            <w:vAlign w:val="center"/>
          </w:tcPr>
          <w:p>
            <w:pPr>
              <w:jc w:val="center"/>
              <w:rPr>
                <w:rFonts w:ascii="宋体" w:hAnsi="宋体" w:cs="宋体"/>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continue"/>
            <w:tcBorders>
              <w:left w:val="single" w:color="000000" w:sz="4" w:space="0"/>
              <w:right w:val="single" w:color="auto" w:sz="4" w:space="0"/>
            </w:tcBorders>
            <w:shd w:val="clear" w:color="auto" w:fill="auto"/>
            <w:vAlign w:val="center"/>
          </w:tcPr>
          <w:p>
            <w:pPr>
              <w:jc w:val="center"/>
              <w:rPr>
                <w:rFonts w:ascii="宋体" w:hAnsi="宋体" w:cs="宋体"/>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lang w:eastAsia="zh-CN"/>
              </w:rPr>
            </w:pPr>
            <w:r>
              <w:rPr>
                <w:rFonts w:hint="eastAsia" w:ascii="宋体" w:hAnsi="宋体" w:eastAsia="宋体" w:cs="宋体"/>
                <w:b/>
                <w:szCs w:val="24"/>
                <w:lang w:val="en-US" w:eastAsia="zh-CN" w:bidi="ar"/>
              </w:rPr>
              <w:t>9</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rPr>
            </w:pPr>
            <w:r>
              <w:rPr>
                <w:rFonts w:hint="eastAsia" w:ascii="宋体" w:hAnsi="宋体" w:cs="宋体"/>
                <w:szCs w:val="24"/>
                <w:lang w:bidi="ar"/>
              </w:rPr>
              <w:t>每月制定运营情况报告（包括运营业情况、存在问题、分析、解决方案等），并于</w:t>
            </w:r>
            <w:r>
              <w:rPr>
                <w:rFonts w:hint="eastAsia" w:ascii="宋体" w:hAnsi="宋体" w:eastAsia="宋体" w:cs="宋体"/>
                <w:sz w:val="22"/>
                <w:szCs w:val="24"/>
                <w:lang w:val="en-US" w:eastAsia="zh-CN" w:bidi="ar"/>
              </w:rPr>
              <w:t>下</w:t>
            </w:r>
            <w:r>
              <w:rPr>
                <w:rFonts w:hint="eastAsia" w:ascii="宋体" w:hAnsi="宋体" w:cs="宋体"/>
                <w:sz w:val="22"/>
                <w:szCs w:val="24"/>
                <w:lang w:bidi="ar"/>
              </w:rPr>
              <w:t>个月第</w:t>
            </w:r>
            <w:r>
              <w:rPr>
                <w:rFonts w:hint="eastAsia" w:ascii="宋体" w:hAnsi="宋体" w:eastAsia="宋体" w:cs="宋体"/>
                <w:sz w:val="22"/>
                <w:szCs w:val="24"/>
                <w:lang w:val="en-US" w:eastAsia="zh-CN" w:bidi="ar"/>
              </w:rPr>
              <w:t>15天</w:t>
            </w:r>
            <w:r>
              <w:rPr>
                <w:rFonts w:ascii="宋体" w:hAnsi="宋体" w:cs="宋体"/>
                <w:sz w:val="22"/>
                <w:szCs w:val="24"/>
                <w:lang w:bidi="ar"/>
              </w:rPr>
              <w:t>内提交上个月度运营情况报告，如不按要求提交扣</w:t>
            </w:r>
            <w:r>
              <w:rPr>
                <w:rFonts w:hint="eastAsia" w:ascii="宋体" w:hAnsi="宋体" w:eastAsia="宋体" w:cs="宋体"/>
                <w:sz w:val="22"/>
                <w:szCs w:val="24"/>
                <w:lang w:val="en-US" w:eastAsia="zh-CN" w:bidi="ar"/>
              </w:rPr>
              <w:t>5</w:t>
            </w:r>
            <w:r>
              <w:rPr>
                <w:rFonts w:ascii="宋体" w:hAnsi="宋体" w:cs="宋体"/>
                <w:sz w:val="22"/>
                <w:szCs w:val="24"/>
                <w:lang w:bidi="ar"/>
              </w:rPr>
              <w:t>分/次。</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rPr>
          <w:trHeight w:val="1304" w:hRule="atLeast"/>
        </w:trPr>
        <w:tc>
          <w:tcPr>
            <w:tcW w:w="1208" w:type="dxa"/>
            <w:vMerge w:val="restart"/>
            <w:tcBorders>
              <w:left w:val="single" w:color="000000" w:sz="4" w:space="0"/>
              <w:right w:val="single" w:color="auto" w:sz="4" w:space="0"/>
            </w:tcBorders>
            <w:shd w:val="clear" w:color="auto" w:fill="auto"/>
            <w:vAlign w:val="center"/>
          </w:tcPr>
          <w:p>
            <w:pPr>
              <w:jc w:val="center"/>
              <w:rPr>
                <w:rFonts w:hint="default" w:ascii="宋体" w:hAnsi="宋体" w:eastAsia="宋体" w:cs="宋体"/>
                <w:szCs w:val="22"/>
                <w:lang w:val="en-US" w:eastAsia="zh-CN"/>
              </w:rPr>
            </w:pPr>
            <w:r>
              <w:rPr>
                <w:rFonts w:hint="eastAsia" w:ascii="宋体" w:hAnsi="宋体" w:eastAsia="宋体" w:cs="宋体"/>
                <w:sz w:val="21"/>
                <w:szCs w:val="21"/>
                <w:lang w:val="en-US" w:eastAsia="zh-CN"/>
              </w:rPr>
              <w:t>四、污水处理在线监测服务扣分明细</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lang w:val="en-US" w:eastAsia="zh-CN"/>
              </w:rPr>
            </w:pPr>
            <w:r>
              <w:rPr>
                <w:rFonts w:hint="eastAsia" w:ascii="宋体" w:hAnsi="宋体" w:eastAsia="宋体" w:cs="宋体"/>
                <w:b/>
                <w:lang w:val="en-US" w:eastAsia="zh-CN"/>
              </w:rPr>
              <w:t>10</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每月对在线监测仪器运行所需要的试剂按统一的标准配置或更换，不符合要求扣</w:t>
            </w:r>
            <w:r>
              <w:rPr>
                <w:rFonts w:hint="eastAsia" w:ascii="宋体" w:hAnsi="宋体" w:eastAsia="宋体" w:cs="宋体"/>
                <w:sz w:val="21"/>
                <w:szCs w:val="21"/>
                <w:lang w:val="en-US" w:eastAsia="zh-CN"/>
              </w:rPr>
              <w:t>2</w:t>
            </w:r>
            <w:r>
              <w:rPr>
                <w:rFonts w:hint="eastAsia" w:ascii="宋体" w:hAnsi="宋体" w:eastAsia="宋体" w:cs="宋体"/>
                <w:sz w:val="21"/>
                <w:szCs w:val="21"/>
              </w:rPr>
              <w:t>分/次。</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continue"/>
            <w:tcBorders>
              <w:left w:val="single" w:color="000000" w:sz="4" w:space="0"/>
              <w:right w:val="single" w:color="auto" w:sz="4" w:space="0"/>
            </w:tcBorders>
            <w:shd w:val="clear" w:color="auto" w:fill="auto"/>
            <w:vAlign w:val="center"/>
          </w:tcPr>
          <w:p>
            <w:pPr>
              <w:jc w:val="center"/>
              <w:rPr>
                <w:rFonts w:ascii="宋体" w:hAnsi="宋体" w:cs="宋体"/>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szCs w:val="24"/>
                <w:lang w:val="en-US" w:eastAsia="zh-CN" w:bidi="ar"/>
              </w:rPr>
            </w:pPr>
            <w:r>
              <w:rPr>
                <w:rFonts w:hint="eastAsia" w:ascii="宋体" w:hAnsi="宋体" w:eastAsia="宋体" w:cs="宋体"/>
                <w:b/>
                <w:szCs w:val="24"/>
                <w:lang w:val="en-US" w:eastAsia="zh-CN" w:bidi="ar"/>
              </w:rPr>
              <w:t>11</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按照规范标准统一配置零点标液和各量程的标液，并按照规范标准定期进行仪器的定期标定，不符合要求扣</w:t>
            </w:r>
            <w:r>
              <w:rPr>
                <w:rFonts w:hint="eastAsia" w:ascii="宋体" w:hAnsi="宋体" w:eastAsia="宋体" w:cs="宋体"/>
                <w:sz w:val="21"/>
                <w:szCs w:val="21"/>
                <w:lang w:val="en-US" w:eastAsia="zh-CN"/>
              </w:rPr>
              <w:t>2</w:t>
            </w:r>
            <w:r>
              <w:rPr>
                <w:rFonts w:hint="eastAsia" w:ascii="宋体" w:hAnsi="宋体" w:eastAsia="宋体" w:cs="宋体"/>
                <w:sz w:val="21"/>
                <w:szCs w:val="21"/>
              </w:rPr>
              <w:t>分/次/项。</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continue"/>
            <w:tcBorders>
              <w:left w:val="single" w:color="auto" w:sz="4" w:space="0"/>
              <w:right w:val="single" w:color="000000" w:sz="4" w:space="0"/>
            </w:tcBorders>
            <w:shd w:val="clear" w:color="auto" w:fill="auto"/>
            <w:vAlign w:val="center"/>
          </w:tcPr>
          <w:p>
            <w:pPr>
              <w:jc w:val="center"/>
              <w:rPr>
                <w:rFonts w:ascii="宋体" w:hAnsi="宋体" w:cs="宋体"/>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continue"/>
            <w:tcBorders>
              <w:left w:val="single" w:color="000000" w:sz="4" w:space="0"/>
              <w:right w:val="single" w:color="auto" w:sz="4" w:space="0"/>
            </w:tcBorders>
            <w:shd w:val="clear" w:color="auto" w:fill="auto"/>
            <w:vAlign w:val="center"/>
          </w:tcPr>
          <w:p>
            <w:pPr>
              <w:jc w:val="center"/>
              <w:rPr>
                <w:rFonts w:ascii="宋体" w:hAnsi="宋体" w:cs="宋体"/>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szCs w:val="24"/>
                <w:lang w:val="en-US" w:eastAsia="zh-CN" w:bidi="ar"/>
              </w:rPr>
            </w:pPr>
            <w:r>
              <w:rPr>
                <w:rFonts w:hint="eastAsia" w:ascii="宋体" w:hAnsi="宋体" w:eastAsia="宋体" w:cs="宋体"/>
                <w:b/>
                <w:szCs w:val="24"/>
                <w:lang w:val="en-US" w:eastAsia="zh-CN" w:bidi="ar"/>
              </w:rPr>
              <w:t>12</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每周对在线监测仪器按照设备说明要求对在线监测仪器进行统一校准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不符合3</w:t>
            </w:r>
            <w:r>
              <w:rPr>
                <w:rFonts w:hint="eastAsia" w:ascii="宋体" w:hAnsi="宋体" w:eastAsia="宋体" w:cs="宋体"/>
                <w:sz w:val="21"/>
                <w:szCs w:val="21"/>
              </w:rPr>
              <w:t>分/次。</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continue"/>
            <w:tcBorders>
              <w:left w:val="single" w:color="auto" w:sz="4" w:space="0"/>
              <w:right w:val="single" w:color="000000" w:sz="4" w:space="0"/>
            </w:tcBorders>
            <w:shd w:val="clear" w:color="auto" w:fill="auto"/>
            <w:vAlign w:val="center"/>
          </w:tcPr>
          <w:p>
            <w:pPr>
              <w:jc w:val="center"/>
              <w:rPr>
                <w:rFonts w:ascii="宋体" w:hAnsi="宋体" w:cs="宋体"/>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continue"/>
            <w:tcBorders>
              <w:left w:val="single" w:color="000000" w:sz="4" w:space="0"/>
              <w:right w:val="single" w:color="auto" w:sz="4" w:space="0"/>
            </w:tcBorders>
            <w:shd w:val="clear" w:color="auto" w:fill="auto"/>
            <w:vAlign w:val="center"/>
          </w:tcPr>
          <w:p>
            <w:pPr>
              <w:jc w:val="center"/>
              <w:rPr>
                <w:rFonts w:ascii="宋体" w:hAnsi="宋体" w:cs="宋体"/>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szCs w:val="24"/>
                <w:lang w:val="en-US" w:eastAsia="zh-CN" w:bidi="ar"/>
              </w:rPr>
            </w:pPr>
            <w:r>
              <w:rPr>
                <w:rFonts w:hint="eastAsia" w:ascii="宋体" w:hAnsi="宋体" w:eastAsia="宋体" w:cs="宋体"/>
                <w:b/>
                <w:szCs w:val="24"/>
                <w:lang w:val="en-US" w:eastAsia="zh-CN" w:bidi="ar"/>
              </w:rPr>
              <w:t>13</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记录应清晰、完整，现场记录应在现场及时填写，有专业维护人员的签字</w:t>
            </w:r>
            <w:r>
              <w:rPr>
                <w:rFonts w:hint="eastAsia" w:ascii="宋体" w:hAnsi="宋体" w:eastAsia="宋体" w:cs="宋体"/>
                <w:sz w:val="21"/>
                <w:szCs w:val="21"/>
                <w:lang w:eastAsia="zh-CN"/>
              </w:rPr>
              <w:t>。</w:t>
            </w:r>
            <w:r>
              <w:rPr>
                <w:rFonts w:hint="eastAsia" w:ascii="宋体" w:hAnsi="宋体" w:eastAsia="宋体" w:cs="宋体"/>
                <w:sz w:val="21"/>
                <w:szCs w:val="21"/>
              </w:rPr>
              <w:t>不符合要求扣</w:t>
            </w:r>
            <w:r>
              <w:rPr>
                <w:rFonts w:hint="eastAsia" w:ascii="宋体" w:hAnsi="宋体" w:eastAsia="宋体" w:cs="宋体"/>
                <w:sz w:val="21"/>
                <w:szCs w:val="21"/>
                <w:lang w:val="en-US" w:eastAsia="zh-CN"/>
              </w:rPr>
              <w:t>2</w:t>
            </w:r>
            <w:r>
              <w:rPr>
                <w:rFonts w:hint="eastAsia" w:ascii="宋体" w:hAnsi="宋体" w:eastAsia="宋体" w:cs="宋体"/>
                <w:sz w:val="21"/>
                <w:szCs w:val="21"/>
              </w:rPr>
              <w:t>分/次。</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continue"/>
            <w:tcBorders>
              <w:left w:val="single" w:color="auto" w:sz="4" w:space="0"/>
              <w:right w:val="single" w:color="000000" w:sz="4" w:space="0"/>
            </w:tcBorders>
            <w:shd w:val="clear" w:color="auto" w:fill="auto"/>
            <w:vAlign w:val="center"/>
          </w:tcPr>
          <w:p>
            <w:pPr>
              <w:jc w:val="center"/>
              <w:rPr>
                <w:rFonts w:ascii="宋体" w:hAnsi="宋体" w:cs="宋体"/>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continue"/>
            <w:tcBorders>
              <w:left w:val="single" w:color="000000" w:sz="4" w:space="0"/>
              <w:right w:val="single" w:color="auto" w:sz="4" w:space="0"/>
            </w:tcBorders>
            <w:shd w:val="clear" w:color="auto" w:fill="auto"/>
            <w:vAlign w:val="center"/>
          </w:tcPr>
          <w:p>
            <w:pPr>
              <w:jc w:val="center"/>
              <w:rPr>
                <w:rFonts w:ascii="宋体" w:hAnsi="宋体" w:cs="宋体"/>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szCs w:val="24"/>
                <w:lang w:val="en-US" w:eastAsia="zh-CN" w:bidi="ar"/>
              </w:rPr>
            </w:pPr>
            <w:r>
              <w:rPr>
                <w:rFonts w:hint="eastAsia" w:ascii="宋体" w:hAnsi="宋体" w:eastAsia="宋体" w:cs="宋体"/>
                <w:b/>
                <w:szCs w:val="24"/>
                <w:lang w:val="en-US" w:eastAsia="zh-CN" w:bidi="ar"/>
              </w:rPr>
              <w:t>14</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检查各仪器管路通畅，出水正常，无漏液</w:t>
            </w:r>
            <w:r>
              <w:rPr>
                <w:rFonts w:hint="eastAsia" w:ascii="宋体" w:hAnsi="宋体" w:eastAsia="宋体" w:cs="宋体"/>
                <w:sz w:val="21"/>
                <w:szCs w:val="21"/>
                <w:lang w:eastAsia="zh-CN"/>
              </w:rPr>
              <w:t>。</w:t>
            </w:r>
            <w:r>
              <w:rPr>
                <w:rFonts w:hint="eastAsia" w:ascii="宋体" w:hAnsi="宋体" w:eastAsia="宋体" w:cs="宋体"/>
                <w:sz w:val="21"/>
                <w:szCs w:val="21"/>
              </w:rPr>
              <w:t>不符合要求扣</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val="en-US" w:eastAsia="zh-CN"/>
              </w:rPr>
              <w:t>次</w:t>
            </w:r>
            <w:r>
              <w:rPr>
                <w:rFonts w:hint="eastAsia" w:ascii="宋体" w:hAnsi="宋体" w:eastAsia="宋体" w:cs="宋体"/>
                <w:sz w:val="21"/>
                <w:szCs w:val="21"/>
              </w:rPr>
              <w:t>。</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continue"/>
            <w:tcBorders>
              <w:left w:val="single" w:color="auto" w:sz="4" w:space="0"/>
              <w:right w:val="single" w:color="000000" w:sz="4" w:space="0"/>
            </w:tcBorders>
            <w:shd w:val="clear" w:color="auto" w:fill="auto"/>
            <w:vAlign w:val="center"/>
          </w:tcPr>
          <w:p>
            <w:pPr>
              <w:jc w:val="center"/>
              <w:rPr>
                <w:rFonts w:ascii="宋体" w:hAnsi="宋体" w:cs="宋体"/>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continue"/>
            <w:tcBorders>
              <w:left w:val="single" w:color="000000" w:sz="4" w:space="0"/>
              <w:right w:val="single" w:color="auto" w:sz="4" w:space="0"/>
            </w:tcBorders>
            <w:shd w:val="clear" w:color="auto" w:fill="auto"/>
            <w:vAlign w:val="center"/>
          </w:tcPr>
          <w:p>
            <w:pPr>
              <w:jc w:val="center"/>
              <w:rPr>
                <w:rFonts w:ascii="宋体" w:hAnsi="宋体" w:cs="宋体"/>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szCs w:val="24"/>
                <w:lang w:val="en-US" w:eastAsia="zh-CN" w:bidi="ar"/>
              </w:rPr>
            </w:pPr>
            <w:r>
              <w:rPr>
                <w:rFonts w:hint="eastAsia" w:ascii="宋体" w:hAnsi="宋体" w:eastAsia="宋体" w:cs="宋体"/>
                <w:b/>
                <w:szCs w:val="24"/>
                <w:lang w:val="en-US" w:eastAsia="zh-CN" w:bidi="ar"/>
              </w:rPr>
              <w:t>15</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lang w:val="en-US" w:eastAsia="zh-CN"/>
              </w:rPr>
              <w:t>因乙方的原因导致甲方被环保部门处罚的</w:t>
            </w:r>
            <w:r>
              <w:rPr>
                <w:rFonts w:hint="eastAsia" w:ascii="宋体" w:hAnsi="宋体" w:eastAsia="宋体" w:cs="宋体"/>
                <w:sz w:val="21"/>
                <w:szCs w:val="21"/>
              </w:rPr>
              <w:t>，</w:t>
            </w:r>
            <w:r>
              <w:rPr>
                <w:rFonts w:hint="eastAsia" w:ascii="宋体" w:hAnsi="宋体" w:eastAsia="宋体" w:cs="宋体"/>
                <w:sz w:val="21"/>
                <w:szCs w:val="21"/>
                <w:lang w:val="en-US" w:eastAsia="zh-CN"/>
              </w:rPr>
              <w:t>处罚一次</w:t>
            </w:r>
            <w:r>
              <w:rPr>
                <w:rFonts w:hint="eastAsia" w:ascii="宋体" w:hAnsi="宋体" w:eastAsia="宋体" w:cs="宋体"/>
                <w:sz w:val="21"/>
                <w:szCs w:val="21"/>
              </w:rPr>
              <w:t>扣</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continue"/>
            <w:tcBorders>
              <w:left w:val="single" w:color="auto" w:sz="4" w:space="0"/>
              <w:right w:val="single" w:color="000000" w:sz="4" w:space="0"/>
            </w:tcBorders>
            <w:shd w:val="clear" w:color="auto" w:fill="auto"/>
            <w:vAlign w:val="center"/>
          </w:tcPr>
          <w:p>
            <w:pPr>
              <w:jc w:val="center"/>
              <w:rPr>
                <w:rFonts w:ascii="宋体" w:hAnsi="宋体" w:cs="宋体"/>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vMerge w:val="continue"/>
            <w:tcBorders>
              <w:left w:val="single" w:color="000000" w:sz="4" w:space="0"/>
              <w:bottom w:val="single" w:color="auto" w:sz="4" w:space="0"/>
              <w:right w:val="single" w:color="auto" w:sz="4" w:space="0"/>
            </w:tcBorders>
            <w:shd w:val="clear" w:color="auto" w:fill="auto"/>
            <w:vAlign w:val="center"/>
          </w:tcPr>
          <w:p>
            <w:pPr>
              <w:jc w:val="center"/>
              <w:rPr>
                <w:rFonts w:ascii="宋体" w:hAnsi="宋体" w:cs="宋体"/>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szCs w:val="24"/>
                <w:lang w:val="en-US" w:eastAsia="zh-CN" w:bidi="ar"/>
              </w:rPr>
            </w:pPr>
            <w:r>
              <w:rPr>
                <w:rFonts w:hint="eastAsia" w:ascii="宋体" w:hAnsi="宋体" w:eastAsia="宋体" w:cs="宋体"/>
                <w:b/>
                <w:szCs w:val="24"/>
                <w:lang w:val="en-US" w:eastAsia="zh-CN" w:bidi="ar"/>
              </w:rPr>
              <w:t>16</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及时处理各平台监控数据异常信息，并书面报告对应的平台。不符合要求扣2分/次。</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continue"/>
            <w:tcBorders>
              <w:left w:val="single" w:color="auto" w:sz="4" w:space="0"/>
              <w:right w:val="single" w:color="000000" w:sz="4" w:space="0"/>
            </w:tcBorders>
            <w:shd w:val="clear" w:color="auto" w:fill="auto"/>
            <w:vAlign w:val="center"/>
          </w:tcPr>
          <w:p>
            <w:pPr>
              <w:jc w:val="center"/>
              <w:rPr>
                <w:rFonts w:ascii="宋体" w:hAnsi="宋体" w:cs="宋体"/>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zCs w:val="22"/>
                <w:lang w:val="en-US" w:eastAsia="zh-CN"/>
              </w:rPr>
            </w:pPr>
            <w:r>
              <w:rPr>
                <w:rFonts w:hint="eastAsia" w:ascii="宋体" w:hAnsi="宋体" w:eastAsia="宋体" w:cs="宋体"/>
                <w:szCs w:val="22"/>
                <w:lang w:val="en-US" w:eastAsia="zh-CN"/>
              </w:rPr>
              <w:t>五、其它情况</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szCs w:val="24"/>
                <w:lang w:val="en-US" w:eastAsia="zh-CN" w:bidi="ar"/>
              </w:rPr>
            </w:pPr>
            <w:r>
              <w:rPr>
                <w:rFonts w:hint="eastAsia" w:ascii="宋体" w:hAnsi="宋体" w:eastAsia="宋体" w:cs="宋体"/>
                <w:b/>
                <w:szCs w:val="24"/>
                <w:lang w:val="en-US" w:eastAsia="zh-CN" w:bidi="ar"/>
              </w:rPr>
              <w:t>17</w:t>
            </w:r>
          </w:p>
        </w:tc>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其他服务质量问题扣</w:t>
            </w:r>
            <w:r>
              <w:rPr>
                <w:rFonts w:hint="eastAsia" w:ascii="宋体" w:hAnsi="宋体" w:eastAsia="宋体" w:cs="宋体"/>
                <w:sz w:val="21"/>
                <w:szCs w:val="21"/>
                <w:lang w:val="en-US" w:eastAsia="zh-CN"/>
              </w:rPr>
              <w:t>2</w:t>
            </w:r>
            <w:r>
              <w:rPr>
                <w:rFonts w:hint="eastAsia" w:ascii="宋体" w:hAnsi="宋体" w:eastAsia="宋体" w:cs="宋体"/>
                <w:sz w:val="21"/>
                <w:szCs w:val="21"/>
              </w:rPr>
              <w:t>分/次</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c>
          <w:tcPr>
            <w:tcW w:w="961" w:type="dxa"/>
            <w:vMerge w:val="continue"/>
            <w:tcBorders>
              <w:left w:val="single" w:color="auto" w:sz="4" w:space="0"/>
              <w:right w:val="single" w:color="000000" w:sz="4" w:space="0"/>
            </w:tcBorders>
            <w:shd w:val="clear" w:color="auto" w:fill="auto"/>
            <w:vAlign w:val="center"/>
          </w:tcPr>
          <w:p>
            <w:pPr>
              <w:jc w:val="center"/>
              <w:rPr>
                <w:rFonts w:ascii="宋体" w:hAnsi="宋体" w:cs="宋体"/>
              </w:rPr>
            </w:pP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48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合计得分</w:t>
            </w:r>
          </w:p>
        </w:tc>
        <w:tc>
          <w:tcPr>
            <w:tcW w:w="27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ascii="宋体" w:hAnsi="宋体" w:cs="宋体"/>
          <w:szCs w:val="21"/>
        </w:rPr>
      </w:pPr>
      <w:r>
        <w:rPr>
          <w:rFonts w:hint="eastAsia" w:ascii="宋体" w:hAnsi="宋体" w:cs="宋体"/>
          <w:szCs w:val="21"/>
        </w:rPr>
        <w:t>备注：</w:t>
      </w:r>
      <w:r>
        <w:rPr>
          <w:rFonts w:hint="eastAsia" w:ascii="宋体" w:hAnsi="宋体" w:cs="宋体"/>
          <w:szCs w:val="21"/>
          <w:lang w:bidi="ar"/>
        </w:rPr>
        <w:t>院级主管人员对服务质量检查进行综合考评（具体考核内容</w:t>
      </w:r>
      <w:r>
        <w:rPr>
          <w:rFonts w:ascii="宋体" w:hAnsi="宋体" w:cs="宋体"/>
          <w:szCs w:val="21"/>
          <w:lang w:bidi="ar"/>
        </w:rPr>
        <w:t>采购人</w:t>
      </w:r>
      <w:r>
        <w:rPr>
          <w:rFonts w:hint="eastAsia" w:ascii="宋体" w:hAnsi="宋体" w:cs="宋体"/>
          <w:szCs w:val="21"/>
          <w:lang w:bidi="ar"/>
        </w:rPr>
        <w:t>有权根据实际情况作出调整），具体考评如下：</w:t>
      </w:r>
      <w:r>
        <w:rPr>
          <w:rFonts w:ascii="宋体" w:hAnsi="宋体" w:cs="宋体"/>
          <w:szCs w:val="21"/>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cs="宋体"/>
          <w:sz w:val="21"/>
          <w:szCs w:val="21"/>
        </w:rPr>
      </w:pPr>
      <w:r>
        <w:rPr>
          <w:rFonts w:hint="eastAsia" w:ascii="宋体" w:hAnsi="宋体" w:cs="宋体"/>
          <w:sz w:val="21"/>
          <w:szCs w:val="21"/>
          <w:lang w:bidi="ar"/>
        </w:rPr>
        <w:t>（</w:t>
      </w:r>
      <w:r>
        <w:rPr>
          <w:rFonts w:ascii="宋体" w:hAnsi="宋体" w:cs="宋体"/>
          <w:sz w:val="21"/>
          <w:szCs w:val="21"/>
          <w:lang w:bidi="ar"/>
        </w:rPr>
        <w:t>1</w:t>
      </w:r>
      <w:r>
        <w:rPr>
          <w:rFonts w:hint="eastAsia" w:ascii="宋体" w:hAnsi="宋体" w:cs="宋体"/>
          <w:sz w:val="21"/>
          <w:szCs w:val="21"/>
          <w:lang w:bidi="ar"/>
        </w:rPr>
        <w:t>）总分</w:t>
      </w:r>
      <w:r>
        <w:rPr>
          <w:rFonts w:ascii="宋体" w:hAnsi="宋体" w:cs="宋体"/>
          <w:sz w:val="21"/>
          <w:szCs w:val="21"/>
          <w:lang w:bidi="ar"/>
        </w:rPr>
        <w:t>100</w:t>
      </w:r>
      <w:r>
        <w:rPr>
          <w:rFonts w:hint="eastAsia" w:ascii="宋体" w:hAnsi="宋体" w:cs="宋体"/>
          <w:sz w:val="21"/>
          <w:szCs w:val="21"/>
          <w:lang w:bidi="ar"/>
        </w:rPr>
        <w:t>分，得分≥</w:t>
      </w:r>
      <w:r>
        <w:rPr>
          <w:rFonts w:ascii="宋体" w:hAnsi="宋体" w:cs="宋体"/>
          <w:sz w:val="21"/>
          <w:szCs w:val="21"/>
          <w:lang w:bidi="ar"/>
        </w:rPr>
        <w:t>85</w:t>
      </w:r>
      <w:r>
        <w:rPr>
          <w:rFonts w:hint="eastAsia" w:ascii="宋体" w:hAnsi="宋体" w:cs="宋体"/>
          <w:sz w:val="21"/>
          <w:szCs w:val="21"/>
          <w:lang w:bidi="ar"/>
        </w:rPr>
        <w:t>分为合格，全额支付当月服务费；</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cs="宋体"/>
          <w:sz w:val="21"/>
          <w:szCs w:val="21"/>
        </w:rPr>
      </w:pPr>
      <w:r>
        <w:rPr>
          <w:rFonts w:hint="eastAsia" w:ascii="宋体" w:hAnsi="宋体" w:cs="宋体"/>
          <w:sz w:val="21"/>
          <w:szCs w:val="21"/>
          <w:lang w:bidi="ar"/>
        </w:rPr>
        <w:t>（</w:t>
      </w:r>
      <w:r>
        <w:rPr>
          <w:rFonts w:ascii="宋体" w:hAnsi="宋体" w:cs="宋体"/>
          <w:sz w:val="21"/>
          <w:szCs w:val="21"/>
          <w:lang w:bidi="ar"/>
        </w:rPr>
        <w:t>2</w:t>
      </w:r>
      <w:r>
        <w:rPr>
          <w:rFonts w:hint="eastAsia" w:ascii="宋体" w:hAnsi="宋体" w:cs="宋体"/>
          <w:sz w:val="21"/>
          <w:szCs w:val="21"/>
          <w:lang w:bidi="ar"/>
        </w:rPr>
        <w:t>）得分＜</w:t>
      </w:r>
      <w:r>
        <w:rPr>
          <w:rFonts w:ascii="宋体" w:hAnsi="宋体" w:cs="宋体"/>
          <w:sz w:val="21"/>
          <w:szCs w:val="21"/>
          <w:lang w:bidi="ar"/>
        </w:rPr>
        <w:t>85</w:t>
      </w:r>
      <w:r>
        <w:rPr>
          <w:rFonts w:hint="eastAsia" w:ascii="宋体" w:hAnsi="宋体" w:cs="宋体"/>
          <w:sz w:val="21"/>
          <w:szCs w:val="21"/>
          <w:lang w:bidi="ar"/>
        </w:rPr>
        <w:t>分为不合格，每下降</w:t>
      </w:r>
      <w:r>
        <w:rPr>
          <w:rFonts w:ascii="宋体" w:hAnsi="宋体" w:cs="宋体"/>
          <w:sz w:val="21"/>
          <w:szCs w:val="21"/>
          <w:lang w:bidi="ar"/>
        </w:rPr>
        <w:t>1</w:t>
      </w:r>
      <w:r>
        <w:rPr>
          <w:rFonts w:hint="eastAsia" w:ascii="宋体" w:hAnsi="宋体" w:cs="宋体"/>
          <w:sz w:val="21"/>
          <w:szCs w:val="21"/>
          <w:lang w:bidi="ar"/>
        </w:rPr>
        <w:t>分扣当月服务费</w:t>
      </w:r>
      <w:r>
        <w:rPr>
          <w:rFonts w:ascii="宋体" w:hAnsi="宋体" w:cs="宋体"/>
          <w:sz w:val="21"/>
          <w:szCs w:val="21"/>
          <w:lang w:bidi="ar"/>
        </w:rPr>
        <w:t>2000</w:t>
      </w:r>
      <w:r>
        <w:rPr>
          <w:rFonts w:hint="eastAsia" w:ascii="宋体" w:hAnsi="宋体" w:cs="宋体"/>
          <w:sz w:val="21"/>
          <w:szCs w:val="21"/>
          <w:lang w:bidi="ar"/>
        </w:rPr>
        <w:t>元，如此类推；</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cs="宋体"/>
          <w:b/>
          <w:szCs w:val="21"/>
        </w:rPr>
      </w:pPr>
      <w:r>
        <w:rPr>
          <w:rFonts w:hint="eastAsia" w:ascii="宋体" w:hAnsi="宋体" w:cs="宋体"/>
          <w:sz w:val="21"/>
          <w:szCs w:val="21"/>
          <w:lang w:bidi="ar"/>
        </w:rPr>
        <w:t>（</w:t>
      </w:r>
      <w:r>
        <w:rPr>
          <w:rFonts w:ascii="宋体" w:hAnsi="宋体" w:cs="宋体"/>
          <w:sz w:val="21"/>
          <w:szCs w:val="21"/>
          <w:lang w:bidi="ar"/>
        </w:rPr>
        <w:t>3</w:t>
      </w:r>
      <w:r>
        <w:rPr>
          <w:rFonts w:hint="eastAsia" w:ascii="宋体" w:hAnsi="宋体" w:cs="宋体"/>
          <w:sz w:val="21"/>
          <w:szCs w:val="21"/>
          <w:lang w:bidi="ar"/>
        </w:rPr>
        <w:t>）连续</w:t>
      </w:r>
      <w:r>
        <w:rPr>
          <w:rFonts w:ascii="宋体" w:hAnsi="宋体" w:cs="宋体"/>
          <w:sz w:val="21"/>
          <w:szCs w:val="21"/>
          <w:lang w:bidi="ar"/>
        </w:rPr>
        <w:t>3</w:t>
      </w:r>
      <w:r>
        <w:rPr>
          <w:rFonts w:hint="eastAsia" w:ascii="宋体" w:hAnsi="宋体" w:cs="宋体"/>
          <w:sz w:val="21"/>
          <w:szCs w:val="21"/>
          <w:lang w:bidi="ar"/>
        </w:rPr>
        <w:t>个月得分＜</w:t>
      </w:r>
      <w:r>
        <w:rPr>
          <w:rFonts w:ascii="宋体" w:hAnsi="宋体" w:cs="宋体"/>
          <w:sz w:val="21"/>
          <w:szCs w:val="21"/>
          <w:lang w:bidi="ar"/>
        </w:rPr>
        <w:t>85</w:t>
      </w:r>
      <w:r>
        <w:rPr>
          <w:rFonts w:hint="eastAsia" w:ascii="宋体" w:hAnsi="宋体" w:cs="宋体"/>
          <w:sz w:val="21"/>
          <w:szCs w:val="21"/>
          <w:lang w:bidi="ar"/>
        </w:rPr>
        <w:t>分的，采购人有权终止合同。</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ascii="宋体" w:hAnsi="宋体" w:cs="宋体"/>
          <w:szCs w:val="21"/>
        </w:rPr>
      </w:pPr>
      <w:r>
        <w:rPr>
          <w:rFonts w:hint="eastAsia" w:ascii="宋体" w:hAnsi="宋体" w:cs="宋体"/>
          <w:szCs w:val="21"/>
        </w:rPr>
        <w:t>考评人签名：</w:t>
      </w:r>
      <w:r>
        <w:rPr>
          <w:rFonts w:ascii="宋体" w:hAnsi="宋体" w:cs="宋体"/>
          <w:szCs w:val="21"/>
        </w:rPr>
        <w:t xml:space="preserve">                           </w:t>
      </w:r>
      <w:r>
        <w:rPr>
          <w:rFonts w:hint="eastAsia" w:ascii="宋体" w:hAnsi="宋体" w:cs="宋体"/>
          <w:szCs w:val="21"/>
        </w:rPr>
        <w:t>公司确认签名：</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ascii="宋体" w:hAns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日期：</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sz w:val="16"/>
          <w:szCs w:val="16"/>
        </w:rPr>
        <w:sectPr>
          <w:footerReference r:id="rId5" w:type="default"/>
          <w:pgSz w:w="11900" w:h="16840"/>
          <w:pgMar w:top="1440" w:right="1800" w:bottom="1440" w:left="1800" w:header="0" w:footer="0" w:gutter="0"/>
          <w:cols w:space="720" w:num="1"/>
        </w:sectPr>
      </w:pPr>
      <w:r>
        <w:rPr>
          <w:rFonts w:hint="eastAsia" w:ascii="等线" w:hAnsi="等线" w:eastAsia="等线"/>
          <w:b/>
          <w:sz w:val="28"/>
          <w:szCs w:val="24"/>
          <w:lang w:bidi="ar"/>
        </w:rPr>
        <w:br w:type="page"/>
      </w:r>
    </w:p>
    <w:p>
      <w:pPr>
        <w:keepNext w:val="0"/>
        <w:keepLines w:val="0"/>
        <w:pageBreakBefore w:val="0"/>
        <w:widowControl w:val="0"/>
        <w:numPr>
          <w:ilvl w:val="0"/>
          <w:numId w:val="32"/>
        </w:numPr>
        <w:kinsoku/>
        <w:wordWrap/>
        <w:overflowPunct/>
        <w:topLinePunct w:val="0"/>
        <w:autoSpaceDE/>
        <w:autoSpaceDN/>
        <w:bidi w:val="0"/>
        <w:adjustRightInd w:val="0"/>
        <w:snapToGrid/>
        <w:spacing w:beforeLines="0" w:line="360" w:lineRule="auto"/>
        <w:ind w:left="0" w:leftChars="0" w:firstLine="0" w:firstLineChars="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其它补充说明</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line="360" w:lineRule="auto"/>
        <w:ind w:left="0" w:leftChars="0"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我院污水处理现有以下在线监测仪器设备(已投入使用约4年，目前均运行正常），供应商自行评估是否继续使用以下设备。若需采购新设备，供应商自行承担费用。若现有设备（在服务期内）不能满足最新的在线监测相关标准，供应商应自行承担设备的升级改造或购置新设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793"/>
        <w:gridCol w:w="1596"/>
        <w:gridCol w:w="1486"/>
        <w:gridCol w:w="747"/>
        <w:gridCol w:w="135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line="24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站点</w:t>
            </w:r>
          </w:p>
        </w:tc>
        <w:tc>
          <w:tcPr>
            <w:tcW w:w="793" w:type="dxa"/>
            <w:vAlign w:val="center"/>
          </w:tcPr>
          <w:p>
            <w:pPr>
              <w:spacing w:line="24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序号</w:t>
            </w:r>
          </w:p>
        </w:tc>
        <w:tc>
          <w:tcPr>
            <w:tcW w:w="1596" w:type="dxa"/>
            <w:vAlign w:val="center"/>
          </w:tcPr>
          <w:p>
            <w:pPr>
              <w:spacing w:line="240" w:lineRule="auto"/>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设备名称</w:t>
            </w:r>
          </w:p>
        </w:tc>
        <w:tc>
          <w:tcPr>
            <w:tcW w:w="1486" w:type="dxa"/>
            <w:vAlign w:val="center"/>
          </w:tcPr>
          <w:p>
            <w:pPr>
              <w:spacing w:line="240" w:lineRule="auto"/>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设备型号</w:t>
            </w:r>
          </w:p>
        </w:tc>
        <w:tc>
          <w:tcPr>
            <w:tcW w:w="747" w:type="dxa"/>
            <w:vAlign w:val="center"/>
          </w:tcPr>
          <w:p>
            <w:pPr>
              <w:spacing w:line="24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数量</w:t>
            </w:r>
          </w:p>
        </w:tc>
        <w:tc>
          <w:tcPr>
            <w:tcW w:w="1352" w:type="dxa"/>
            <w:vAlign w:val="center"/>
          </w:tcPr>
          <w:p>
            <w:pPr>
              <w:spacing w:line="240" w:lineRule="auto"/>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监测项目</w:t>
            </w:r>
          </w:p>
        </w:tc>
        <w:tc>
          <w:tcPr>
            <w:tcW w:w="1352" w:type="dxa"/>
            <w:vAlign w:val="center"/>
          </w:tcPr>
          <w:p>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投入使用时间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pPr>
              <w:bidi w:val="0"/>
              <w:jc w:val="center"/>
              <w:rPr>
                <w:rFonts w:hint="default" w:asciiTheme="minorHAnsi" w:hAnsiTheme="minorHAnsi" w:eastAsiaTheme="minorEastAsia" w:cstheme="minorBidi"/>
                <w:kern w:val="2"/>
                <w:sz w:val="21"/>
                <w:szCs w:val="21"/>
                <w:highlight w:val="none"/>
                <w:lang w:val="en-US" w:eastAsia="zh-CN" w:bidi="ar-SA"/>
              </w:rPr>
            </w:pPr>
            <w:r>
              <w:rPr>
                <w:rFonts w:hint="eastAsia" w:asciiTheme="minorHAnsi" w:hAnsiTheme="minorHAnsi" w:eastAsiaTheme="minorEastAsia" w:cstheme="minorBidi"/>
                <w:kern w:val="2"/>
                <w:sz w:val="21"/>
                <w:szCs w:val="21"/>
                <w:highlight w:val="none"/>
                <w:lang w:val="en-US" w:eastAsia="zh-CN" w:bidi="ar-SA"/>
              </w:rPr>
              <w:t>东院区污水站</w:t>
            </w:r>
          </w:p>
        </w:tc>
        <w:tc>
          <w:tcPr>
            <w:tcW w:w="793" w:type="dxa"/>
            <w:vAlign w:val="center"/>
          </w:tcPr>
          <w:p>
            <w:pPr>
              <w:spacing w:line="240" w:lineRule="auto"/>
              <w:jc w:val="center"/>
              <w:rPr>
                <w:rFonts w:hint="default" w:eastAsiaTheme="minorEastAsia"/>
                <w:sz w:val="21"/>
                <w:szCs w:val="21"/>
                <w:highlight w:val="none"/>
                <w:vertAlign w:val="baseline"/>
                <w:lang w:val="en-US" w:eastAsia="zh-CN"/>
              </w:rPr>
            </w:pPr>
            <w:r>
              <w:rPr>
                <w:rFonts w:hint="eastAsia" w:eastAsiaTheme="minorEastAsia"/>
                <w:sz w:val="21"/>
                <w:szCs w:val="21"/>
                <w:highlight w:val="none"/>
                <w:vertAlign w:val="baseline"/>
                <w:lang w:val="en-US" w:eastAsia="zh-CN"/>
              </w:rPr>
              <w:t>1</w:t>
            </w:r>
          </w:p>
        </w:tc>
        <w:tc>
          <w:tcPr>
            <w:tcW w:w="1596" w:type="dxa"/>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val="en-US" w:eastAsia="zh-CN"/>
              </w:rPr>
              <w:t>COD水质在线自动监测仪</w:t>
            </w:r>
          </w:p>
        </w:tc>
        <w:tc>
          <w:tcPr>
            <w:tcW w:w="1486" w:type="dxa"/>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eastAsia="zh-CN"/>
              </w:rPr>
              <w:t>皖仪WS150</w:t>
            </w:r>
            <w:r>
              <w:rPr>
                <w:rFonts w:hint="eastAsia" w:ascii="楷体" w:hAnsi="楷体" w:eastAsia="楷体" w:cs="楷体"/>
                <w:highlight w:val="none"/>
                <w:u w:val="none"/>
                <w:lang w:val="en-US" w:eastAsia="zh-CN"/>
              </w:rPr>
              <w:t>1</w:t>
            </w:r>
          </w:p>
        </w:tc>
        <w:tc>
          <w:tcPr>
            <w:tcW w:w="747" w:type="dxa"/>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val="en-US" w:eastAsia="zh-CN"/>
              </w:rPr>
              <w:t>1台</w:t>
            </w:r>
          </w:p>
        </w:tc>
        <w:tc>
          <w:tcPr>
            <w:tcW w:w="1352" w:type="dxa"/>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val="en-US" w:eastAsia="zh-CN"/>
              </w:rPr>
              <w:t>化学需氧量</w:t>
            </w:r>
          </w:p>
        </w:tc>
        <w:tc>
          <w:tcPr>
            <w:tcW w:w="1352" w:type="dxa"/>
            <w:vMerge w:val="restart"/>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default" w:ascii="楷体" w:hAnsi="楷体" w:eastAsia="楷体" w:cs="楷体"/>
                <w:highlight w:val="none"/>
                <w:u w:val="none"/>
                <w:lang w:val="en-US" w:eastAsia="zh-CN"/>
              </w:rPr>
            </w:pPr>
            <w:r>
              <w:rPr>
                <w:rFonts w:hint="eastAsia" w:ascii="楷体" w:hAnsi="楷体" w:eastAsia="楷体" w:cs="楷体"/>
                <w:highlight w:val="none"/>
                <w:u w:val="none"/>
                <w:lang w:val="en-US" w:eastAsia="zh-CN"/>
              </w:rPr>
              <w:t>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spacing w:line="240" w:lineRule="auto"/>
              <w:jc w:val="center"/>
              <w:rPr>
                <w:sz w:val="21"/>
                <w:szCs w:val="21"/>
                <w:highlight w:val="none"/>
                <w:vertAlign w:val="baseline"/>
              </w:rPr>
            </w:pPr>
          </w:p>
        </w:tc>
        <w:tc>
          <w:tcPr>
            <w:tcW w:w="793" w:type="dxa"/>
            <w:vAlign w:val="center"/>
          </w:tcPr>
          <w:p>
            <w:pPr>
              <w:spacing w:line="240" w:lineRule="auto"/>
              <w:jc w:val="center"/>
              <w:rPr>
                <w:rFonts w:hint="default" w:eastAsiaTheme="minorEastAsia"/>
                <w:sz w:val="21"/>
                <w:szCs w:val="21"/>
                <w:highlight w:val="none"/>
                <w:vertAlign w:val="baseline"/>
                <w:lang w:val="en-US" w:eastAsia="zh-CN"/>
              </w:rPr>
            </w:pPr>
            <w:r>
              <w:rPr>
                <w:rFonts w:hint="eastAsia" w:eastAsiaTheme="minorEastAsia"/>
                <w:sz w:val="21"/>
                <w:szCs w:val="21"/>
                <w:highlight w:val="none"/>
                <w:vertAlign w:val="baseline"/>
                <w:lang w:val="en-US" w:eastAsia="zh-CN"/>
              </w:rPr>
              <w:t>2</w:t>
            </w:r>
          </w:p>
        </w:tc>
        <w:tc>
          <w:tcPr>
            <w:tcW w:w="1596" w:type="dxa"/>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val="en-US" w:eastAsia="zh-CN"/>
              </w:rPr>
              <w:t>超声波明渠流量计</w:t>
            </w:r>
          </w:p>
        </w:tc>
        <w:tc>
          <w:tcPr>
            <w:tcW w:w="1486" w:type="dxa"/>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eastAsia="zh-CN"/>
              </w:rPr>
              <w:t>九波声迪WL-1A1</w:t>
            </w:r>
          </w:p>
        </w:tc>
        <w:tc>
          <w:tcPr>
            <w:tcW w:w="747" w:type="dxa"/>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val="en-US" w:eastAsia="zh-CN"/>
              </w:rPr>
              <w:t>1台</w:t>
            </w:r>
          </w:p>
        </w:tc>
        <w:tc>
          <w:tcPr>
            <w:tcW w:w="1352" w:type="dxa"/>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val="en-US" w:eastAsia="zh-CN"/>
              </w:rPr>
              <w:t>污水流量</w:t>
            </w:r>
          </w:p>
        </w:tc>
        <w:tc>
          <w:tcPr>
            <w:tcW w:w="1352" w:type="dxa"/>
            <w:vMerge w:val="continue"/>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eastAsia" w:ascii="楷体" w:hAnsi="楷体" w:eastAsia="楷体" w:cs="楷体"/>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spacing w:line="240" w:lineRule="auto"/>
              <w:jc w:val="center"/>
              <w:rPr>
                <w:sz w:val="21"/>
                <w:szCs w:val="21"/>
                <w:highlight w:val="none"/>
                <w:vertAlign w:val="baseline"/>
              </w:rPr>
            </w:pPr>
          </w:p>
        </w:tc>
        <w:tc>
          <w:tcPr>
            <w:tcW w:w="793" w:type="dxa"/>
            <w:vAlign w:val="center"/>
          </w:tcPr>
          <w:p>
            <w:pPr>
              <w:spacing w:line="240" w:lineRule="auto"/>
              <w:jc w:val="center"/>
              <w:rPr>
                <w:rFonts w:hint="default" w:eastAsiaTheme="minorEastAsia"/>
                <w:sz w:val="21"/>
                <w:szCs w:val="21"/>
                <w:highlight w:val="none"/>
                <w:vertAlign w:val="baseline"/>
                <w:lang w:val="en-US" w:eastAsia="zh-CN"/>
              </w:rPr>
            </w:pPr>
            <w:r>
              <w:rPr>
                <w:rFonts w:hint="eastAsia" w:eastAsiaTheme="minorEastAsia"/>
                <w:sz w:val="21"/>
                <w:szCs w:val="21"/>
                <w:highlight w:val="none"/>
                <w:vertAlign w:val="baseline"/>
                <w:lang w:val="en-US" w:eastAsia="zh-CN"/>
              </w:rPr>
              <w:t>3</w:t>
            </w:r>
          </w:p>
        </w:tc>
        <w:tc>
          <w:tcPr>
            <w:tcW w:w="1596" w:type="dxa"/>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val="en-US" w:eastAsia="zh-CN"/>
              </w:rPr>
              <w:t>数据采集传输仪</w:t>
            </w:r>
          </w:p>
        </w:tc>
        <w:tc>
          <w:tcPr>
            <w:tcW w:w="1486" w:type="dxa"/>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eastAsia="zh-CN"/>
              </w:rPr>
              <w:t>广达远GM-400</w:t>
            </w:r>
          </w:p>
        </w:tc>
        <w:tc>
          <w:tcPr>
            <w:tcW w:w="747" w:type="dxa"/>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val="en-US" w:eastAsia="zh-CN"/>
              </w:rPr>
              <w:t>1台</w:t>
            </w:r>
          </w:p>
        </w:tc>
        <w:tc>
          <w:tcPr>
            <w:tcW w:w="1352" w:type="dxa"/>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val="en-US" w:eastAsia="zh-CN"/>
              </w:rPr>
              <w:t>采集、上传数据</w:t>
            </w:r>
          </w:p>
        </w:tc>
        <w:tc>
          <w:tcPr>
            <w:tcW w:w="1352" w:type="dxa"/>
            <w:vMerge w:val="continue"/>
            <w:shd w:val="clear" w:color="auto" w:fill="auto"/>
            <w:vAlign w:val="center"/>
          </w:tcPr>
          <w:p>
            <w:pPr>
              <w:keepNext w:val="0"/>
              <w:keepLines w:val="0"/>
              <w:widowControl/>
              <w:suppressLineNumbers w:val="0"/>
              <w:spacing w:before="0" w:beforeAutospacing="0" w:after="0" w:afterAutospacing="0" w:line="288" w:lineRule="auto"/>
              <w:ind w:left="0" w:leftChars="0" w:right="0" w:rightChars="0"/>
              <w:jc w:val="center"/>
              <w:rPr>
                <w:rFonts w:hint="eastAsia" w:ascii="楷体" w:hAnsi="楷体" w:eastAsia="楷体" w:cs="楷体"/>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spacing w:line="240" w:lineRule="auto"/>
              <w:jc w:val="center"/>
              <w:rPr>
                <w:sz w:val="21"/>
                <w:szCs w:val="21"/>
                <w:highlight w:val="none"/>
                <w:vertAlign w:val="baseline"/>
              </w:rPr>
            </w:pPr>
          </w:p>
        </w:tc>
        <w:tc>
          <w:tcPr>
            <w:tcW w:w="793" w:type="dxa"/>
            <w:vAlign w:val="center"/>
          </w:tcPr>
          <w:p>
            <w:pPr>
              <w:spacing w:line="240" w:lineRule="auto"/>
              <w:jc w:val="center"/>
              <w:rPr>
                <w:rFonts w:hint="default" w:eastAsiaTheme="minorEastAsia"/>
                <w:sz w:val="21"/>
                <w:szCs w:val="21"/>
                <w:highlight w:val="none"/>
                <w:vertAlign w:val="baseline"/>
                <w:lang w:val="en-US" w:eastAsia="zh-CN"/>
              </w:rPr>
            </w:pPr>
            <w:r>
              <w:rPr>
                <w:rFonts w:hint="eastAsia" w:eastAsiaTheme="minorEastAsia"/>
                <w:sz w:val="21"/>
                <w:szCs w:val="21"/>
                <w:highlight w:val="none"/>
                <w:vertAlign w:val="baseline"/>
                <w:lang w:val="en-US" w:eastAsia="zh-CN"/>
              </w:rPr>
              <w:t>4</w:t>
            </w:r>
          </w:p>
        </w:tc>
        <w:tc>
          <w:tcPr>
            <w:tcW w:w="159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val="en-US" w:eastAsia="zh-CN"/>
              </w:rPr>
              <w:t>水质自动采样器</w:t>
            </w:r>
          </w:p>
        </w:tc>
        <w:tc>
          <w:tcPr>
            <w:tcW w:w="148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eastAsia="zh-CN"/>
              </w:rPr>
              <w:t>皖仪WS1</w:t>
            </w:r>
            <w:r>
              <w:rPr>
                <w:rFonts w:hint="eastAsia" w:ascii="楷体" w:hAnsi="楷体" w:eastAsia="楷体" w:cs="楷体"/>
                <w:highlight w:val="none"/>
                <w:u w:val="none"/>
                <w:lang w:val="en-US" w:eastAsia="zh-CN"/>
              </w:rPr>
              <w:t>8</w:t>
            </w:r>
            <w:r>
              <w:rPr>
                <w:rFonts w:hint="eastAsia" w:ascii="楷体" w:hAnsi="楷体" w:eastAsia="楷体" w:cs="楷体"/>
                <w:highlight w:val="none"/>
                <w:u w:val="none"/>
                <w:lang w:eastAsia="zh-CN"/>
              </w:rPr>
              <w:t>0</w:t>
            </w:r>
            <w:r>
              <w:rPr>
                <w:rFonts w:hint="eastAsia" w:ascii="楷体" w:hAnsi="楷体" w:eastAsia="楷体" w:cs="楷体"/>
                <w:highlight w:val="none"/>
                <w:u w:val="none"/>
                <w:lang w:val="en-US" w:eastAsia="zh-CN"/>
              </w:rPr>
              <w:t>1</w:t>
            </w:r>
          </w:p>
        </w:tc>
        <w:tc>
          <w:tcPr>
            <w:tcW w:w="74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highlight w:val="none"/>
                <w:u w:val="none"/>
                <w:lang w:val="en-US" w:eastAsia="zh-CN"/>
              </w:rPr>
              <w:t>1套</w:t>
            </w:r>
          </w:p>
        </w:tc>
        <w:tc>
          <w:tcPr>
            <w:tcW w:w="135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楷体" w:hAnsi="楷体" w:eastAsia="楷体" w:cs="楷体"/>
                <w:snapToGrid w:val="0"/>
                <w:color w:val="000000"/>
                <w:kern w:val="0"/>
                <w:sz w:val="21"/>
                <w:szCs w:val="21"/>
                <w:highlight w:val="none"/>
                <w:u w:val="none"/>
                <w:lang w:val="en-US" w:eastAsia="zh-CN" w:bidi="ar-SA"/>
              </w:rPr>
            </w:pPr>
            <w:r>
              <w:rPr>
                <w:rFonts w:hint="eastAsia" w:ascii="楷体" w:hAnsi="楷体" w:eastAsia="楷体" w:cs="楷体"/>
                <w:snapToGrid w:val="0"/>
                <w:color w:val="000000"/>
                <w:kern w:val="0"/>
                <w:sz w:val="21"/>
                <w:szCs w:val="21"/>
                <w:highlight w:val="none"/>
                <w:u w:val="none"/>
                <w:lang w:val="en-US" w:eastAsia="zh-CN" w:bidi="ar-SA"/>
              </w:rPr>
              <w:t>水样供应</w:t>
            </w:r>
          </w:p>
        </w:tc>
        <w:tc>
          <w:tcPr>
            <w:tcW w:w="1352" w:type="dxa"/>
            <w:vMerge w:val="continue"/>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楷体" w:hAnsi="楷体" w:eastAsia="楷体" w:cs="楷体"/>
                <w:snapToGrid w:val="0"/>
                <w:color w:val="000000"/>
                <w:kern w:val="0"/>
                <w:sz w:val="21"/>
                <w:szCs w:val="21"/>
                <w:highlight w:val="none"/>
                <w:u w:val="none"/>
                <w:lang w:val="en-US" w:eastAsia="zh-CN" w:bidi="ar-SA"/>
              </w:rPr>
            </w:pPr>
          </w:p>
        </w:tc>
      </w:tr>
    </w:tbl>
    <w:p>
      <w:pPr>
        <w:rPr>
          <w:highlight w:val="none"/>
        </w:rPr>
      </w:pPr>
    </w:p>
    <w:p/>
    <w:p/>
    <w:p/>
    <w:p/>
    <w:p/>
    <w:p/>
    <w:p/>
    <w:p/>
    <w:p/>
    <w:p/>
    <w:p/>
    <w:p/>
    <w:p/>
    <w:p/>
    <w:p/>
    <w:p/>
    <w:p/>
    <w:p/>
    <w:p/>
    <w:p/>
    <w:p/>
    <w:p/>
    <w:p/>
    <w:p>
      <w:pPr>
        <w:jc w:val="right"/>
        <w:rPr>
          <w:rFonts w:hint="default" w:eastAsia="宋体"/>
          <w:sz w:val="24"/>
          <w:szCs w:val="24"/>
          <w:lang w:val="en-US" w:eastAsia="zh-CN"/>
        </w:rPr>
      </w:pPr>
      <w:r>
        <w:rPr>
          <w:rFonts w:hint="eastAsia" w:eastAsia="宋体"/>
          <w:lang w:val="en-US" w:eastAsia="zh-CN"/>
        </w:rPr>
        <w:t xml:space="preserve">                                               </w:t>
      </w:r>
      <w:r>
        <w:rPr>
          <w:rFonts w:hint="eastAsia" w:eastAsia="宋体"/>
          <w:sz w:val="24"/>
          <w:szCs w:val="24"/>
          <w:lang w:val="en-US" w:eastAsia="zh-CN"/>
        </w:rPr>
        <w:t>广州市番禺区第七人民医院</w:t>
      </w:r>
    </w:p>
    <w:p>
      <w:pPr>
        <w:rPr>
          <w:rFonts w:hint="default" w:eastAsia="宋体"/>
          <w:sz w:val="24"/>
          <w:szCs w:val="24"/>
          <w:lang w:val="en-US" w:eastAsia="zh-CN"/>
        </w:rPr>
      </w:pPr>
      <w:r>
        <w:rPr>
          <w:rFonts w:hint="eastAsia" w:eastAsia="宋体"/>
          <w:sz w:val="24"/>
          <w:szCs w:val="24"/>
          <w:lang w:val="en-US" w:eastAsia="zh-CN"/>
        </w:rPr>
        <w:t xml:space="preserve">                                                       2025年5月19日</w:t>
      </w: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50"/>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华文新魏">
    <w:altName w:val="华文宋体"/>
    <w:panose1 w:val="0201080004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Microsoft JhengHei">
    <w:altName w:val="宋体"/>
    <w:panose1 w:val="020B0604030504040204"/>
    <w:charset w:val="88"/>
    <w:family w:val="auto"/>
    <w:pitch w:val="default"/>
    <w:sig w:usb0="00000000" w:usb1="00000000" w:usb2="00000016" w:usb3="00000000" w:csb0="00100009"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66" w:lineRule="exact"/>
      <w:ind w:left="4881"/>
      <w:rPr>
        <w:rFonts w:ascii="Microsoft JhengHei" w:hAnsi="Microsoft JhengHei" w:eastAsia="Microsoft JhengHei" w:cs="Microsoft JhengHei"/>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2"/>
      <w:spacing w:line="266" w:lineRule="exact"/>
      <w:ind w:left="4881"/>
      <w:rPr>
        <w:rFonts w:ascii="Microsoft JhengHei" w:hAnsi="Microsoft JhengHei" w:eastAsia="Microsoft JhengHei" w:cs="Microsoft JhengHe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66" w:lineRule="exact"/>
      <w:rPr>
        <w:rFonts w:ascii="Microsoft JhengHei" w:hAnsi="Microsoft JhengHei" w:eastAsia="Microsoft JhengHei" w:cs="Microsoft JhengHei"/>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E9DAD"/>
    <w:multiLevelType w:val="singleLevel"/>
    <w:tmpl w:val="908E9DAD"/>
    <w:lvl w:ilvl="0" w:tentative="0">
      <w:start w:val="2"/>
      <w:numFmt w:val="chineseCounting"/>
      <w:suff w:val="nothing"/>
      <w:lvlText w:val="%1、"/>
      <w:lvlJc w:val="left"/>
      <w:pPr>
        <w:ind w:left="0" w:firstLine="420"/>
      </w:pPr>
      <w:rPr>
        <w:rFonts w:hint="eastAsia" w:ascii="黑体" w:hAnsi="黑体" w:eastAsia="黑体" w:cs="黑体"/>
        <w:sz w:val="28"/>
        <w:szCs w:val="28"/>
      </w:rPr>
    </w:lvl>
  </w:abstractNum>
  <w:abstractNum w:abstractNumId="1">
    <w:nsid w:val="99A6CA21"/>
    <w:multiLevelType w:val="singleLevel"/>
    <w:tmpl w:val="99A6CA21"/>
    <w:lvl w:ilvl="0" w:tentative="0">
      <w:start w:val="1"/>
      <w:numFmt w:val="chineseCounting"/>
      <w:suff w:val="nothing"/>
      <w:lvlText w:val="（%1）"/>
      <w:lvlJc w:val="left"/>
      <w:pPr>
        <w:ind w:left="0" w:firstLine="420"/>
      </w:pPr>
      <w:rPr>
        <w:rFonts w:hint="eastAsia"/>
        <w:sz w:val="24"/>
        <w:szCs w:val="24"/>
      </w:rPr>
    </w:lvl>
  </w:abstractNum>
  <w:abstractNum w:abstractNumId="2">
    <w:nsid w:val="9C0C17C3"/>
    <w:multiLevelType w:val="singleLevel"/>
    <w:tmpl w:val="9C0C17C3"/>
    <w:lvl w:ilvl="0" w:tentative="0">
      <w:start w:val="2"/>
      <w:numFmt w:val="chineseCounting"/>
      <w:suff w:val="nothing"/>
      <w:lvlText w:val="（%1）"/>
      <w:lvlJc w:val="left"/>
      <w:pPr>
        <w:ind w:left="0" w:firstLine="420"/>
      </w:pPr>
      <w:rPr>
        <w:rFonts w:hint="eastAsia"/>
        <w:sz w:val="24"/>
        <w:szCs w:val="24"/>
      </w:rPr>
    </w:lvl>
  </w:abstractNum>
  <w:abstractNum w:abstractNumId="3">
    <w:nsid w:val="9FCCFC3B"/>
    <w:multiLevelType w:val="singleLevel"/>
    <w:tmpl w:val="9FCCFC3B"/>
    <w:lvl w:ilvl="0" w:tentative="0">
      <w:start w:val="7"/>
      <w:numFmt w:val="chineseCounting"/>
      <w:suff w:val="nothing"/>
      <w:lvlText w:val="%1、"/>
      <w:lvlJc w:val="left"/>
      <w:pPr>
        <w:ind w:left="0" w:firstLine="420"/>
      </w:pPr>
      <w:rPr>
        <w:rFonts w:hint="eastAsia" w:ascii="黑体" w:hAnsi="黑体" w:eastAsia="黑体" w:cs="黑体"/>
        <w:sz w:val="28"/>
        <w:szCs w:val="28"/>
      </w:rPr>
    </w:lvl>
  </w:abstractNum>
  <w:abstractNum w:abstractNumId="4">
    <w:nsid w:val="B17A81A8"/>
    <w:multiLevelType w:val="singleLevel"/>
    <w:tmpl w:val="B17A81A8"/>
    <w:lvl w:ilvl="0" w:tentative="0">
      <w:start w:val="1"/>
      <w:numFmt w:val="decimal"/>
      <w:suff w:val="nothing"/>
      <w:lvlText w:val="%1、"/>
      <w:lvlJc w:val="left"/>
    </w:lvl>
  </w:abstractNum>
  <w:abstractNum w:abstractNumId="5">
    <w:nsid w:val="B3305C5E"/>
    <w:multiLevelType w:val="singleLevel"/>
    <w:tmpl w:val="B3305C5E"/>
    <w:lvl w:ilvl="0" w:tentative="0">
      <w:start w:val="8"/>
      <w:numFmt w:val="chineseCounting"/>
      <w:suff w:val="nothing"/>
      <w:lvlText w:val="%1、"/>
      <w:lvlJc w:val="left"/>
      <w:pPr>
        <w:ind w:left="0" w:firstLine="420"/>
      </w:pPr>
      <w:rPr>
        <w:rFonts w:hint="eastAsia"/>
      </w:rPr>
    </w:lvl>
  </w:abstractNum>
  <w:abstractNum w:abstractNumId="6">
    <w:nsid w:val="D5CD89B7"/>
    <w:multiLevelType w:val="singleLevel"/>
    <w:tmpl w:val="D5CD89B7"/>
    <w:lvl w:ilvl="0" w:tentative="0">
      <w:start w:val="1"/>
      <w:numFmt w:val="chineseCounting"/>
      <w:suff w:val="nothing"/>
      <w:lvlText w:val="（%1）"/>
      <w:lvlJc w:val="left"/>
      <w:pPr>
        <w:ind w:left="0" w:firstLine="420"/>
      </w:pPr>
      <w:rPr>
        <w:rFonts w:hint="eastAsia"/>
        <w:sz w:val="24"/>
        <w:szCs w:val="24"/>
      </w:rPr>
    </w:lvl>
  </w:abstractNum>
  <w:abstractNum w:abstractNumId="7">
    <w:nsid w:val="D6CA8B86"/>
    <w:multiLevelType w:val="singleLevel"/>
    <w:tmpl w:val="D6CA8B86"/>
    <w:lvl w:ilvl="0" w:tentative="0">
      <w:start w:val="3"/>
      <w:numFmt w:val="decimal"/>
      <w:suff w:val="nothing"/>
      <w:lvlText w:val="(%1)"/>
      <w:lvlJc w:val="left"/>
      <w:pPr>
        <w:ind w:left="425" w:leftChars="0" w:hanging="425" w:firstLineChars="0"/>
      </w:pPr>
      <w:rPr>
        <w:rFonts w:hint="default"/>
      </w:rPr>
    </w:lvl>
  </w:abstractNum>
  <w:abstractNum w:abstractNumId="8">
    <w:nsid w:val="D8885468"/>
    <w:multiLevelType w:val="singleLevel"/>
    <w:tmpl w:val="D8885468"/>
    <w:lvl w:ilvl="0" w:tentative="0">
      <w:start w:val="1"/>
      <w:numFmt w:val="decimal"/>
      <w:suff w:val="nothing"/>
      <w:lvlText w:val="(%1)"/>
      <w:lvlJc w:val="left"/>
      <w:pPr>
        <w:ind w:left="425" w:hanging="425"/>
      </w:pPr>
      <w:rPr>
        <w:rFonts w:hint="default"/>
      </w:rPr>
    </w:lvl>
  </w:abstractNum>
  <w:abstractNum w:abstractNumId="9">
    <w:nsid w:val="E4A5CEA3"/>
    <w:multiLevelType w:val="singleLevel"/>
    <w:tmpl w:val="E4A5CEA3"/>
    <w:lvl w:ilvl="0" w:tentative="0">
      <w:start w:val="1"/>
      <w:numFmt w:val="decimal"/>
      <w:suff w:val="nothing"/>
      <w:lvlText w:val="%1."/>
      <w:lvlJc w:val="left"/>
      <w:pPr>
        <w:ind w:left="425" w:hanging="425"/>
      </w:pPr>
      <w:rPr>
        <w:rFonts w:hint="default" w:ascii="宋体" w:hAnsi="宋体" w:eastAsia="宋体" w:cs="宋体"/>
        <w:sz w:val="24"/>
        <w:szCs w:val="24"/>
      </w:rPr>
    </w:lvl>
  </w:abstractNum>
  <w:abstractNum w:abstractNumId="10">
    <w:nsid w:val="E6FEB188"/>
    <w:multiLevelType w:val="singleLevel"/>
    <w:tmpl w:val="E6FEB188"/>
    <w:lvl w:ilvl="0" w:tentative="0">
      <w:start w:val="1"/>
      <w:numFmt w:val="decimal"/>
      <w:suff w:val="nothing"/>
      <w:lvlText w:val="(%1)"/>
      <w:lvlJc w:val="left"/>
      <w:pPr>
        <w:ind w:left="425" w:hanging="425"/>
      </w:pPr>
      <w:rPr>
        <w:rFonts w:hint="default"/>
      </w:rPr>
    </w:lvl>
  </w:abstractNum>
  <w:abstractNum w:abstractNumId="11">
    <w:nsid w:val="E8B372B7"/>
    <w:multiLevelType w:val="singleLevel"/>
    <w:tmpl w:val="E8B372B7"/>
    <w:lvl w:ilvl="0" w:tentative="0">
      <w:start w:val="4"/>
      <w:numFmt w:val="chineseCounting"/>
      <w:suff w:val="nothing"/>
      <w:lvlText w:val="（%1）"/>
      <w:lvlJc w:val="left"/>
      <w:pPr>
        <w:ind w:left="0" w:firstLine="420"/>
      </w:pPr>
      <w:rPr>
        <w:rFonts w:hint="eastAsia"/>
        <w:b/>
        <w:bCs/>
        <w:sz w:val="24"/>
        <w:szCs w:val="24"/>
      </w:rPr>
    </w:lvl>
  </w:abstractNum>
  <w:abstractNum w:abstractNumId="12">
    <w:nsid w:val="EF651E1A"/>
    <w:multiLevelType w:val="singleLevel"/>
    <w:tmpl w:val="EF651E1A"/>
    <w:lvl w:ilvl="0" w:tentative="0">
      <w:start w:val="2"/>
      <w:numFmt w:val="chineseCounting"/>
      <w:suff w:val="nothing"/>
      <w:lvlText w:val="%1、"/>
      <w:lvlJc w:val="left"/>
      <w:rPr>
        <w:rFonts w:hint="eastAsia"/>
      </w:rPr>
    </w:lvl>
  </w:abstractNum>
  <w:abstractNum w:abstractNumId="13">
    <w:nsid w:val="00F4C522"/>
    <w:multiLevelType w:val="singleLevel"/>
    <w:tmpl w:val="00F4C522"/>
    <w:lvl w:ilvl="0" w:tentative="0">
      <w:start w:val="1"/>
      <w:numFmt w:val="decimalEnclosedCircleChinese"/>
      <w:suff w:val="nothing"/>
      <w:lvlText w:val="%1　"/>
      <w:lvlJc w:val="left"/>
      <w:pPr>
        <w:ind w:left="0" w:firstLine="400"/>
      </w:pPr>
      <w:rPr>
        <w:rFonts w:hint="eastAsia"/>
      </w:rPr>
    </w:lvl>
  </w:abstractNum>
  <w:abstractNum w:abstractNumId="14">
    <w:nsid w:val="09C4E7E4"/>
    <w:multiLevelType w:val="singleLevel"/>
    <w:tmpl w:val="09C4E7E4"/>
    <w:lvl w:ilvl="0" w:tentative="0">
      <w:start w:val="1"/>
      <w:numFmt w:val="decimal"/>
      <w:suff w:val="nothing"/>
      <w:lvlText w:val="%1."/>
      <w:lvlJc w:val="left"/>
      <w:pPr>
        <w:ind w:left="425" w:hanging="425"/>
      </w:pPr>
      <w:rPr>
        <w:rFonts w:hint="default"/>
      </w:rPr>
    </w:lvl>
  </w:abstractNum>
  <w:abstractNum w:abstractNumId="15">
    <w:nsid w:val="0B0CFCAE"/>
    <w:multiLevelType w:val="singleLevel"/>
    <w:tmpl w:val="0B0CFCAE"/>
    <w:lvl w:ilvl="0" w:tentative="0">
      <w:start w:val="1"/>
      <w:numFmt w:val="chineseCounting"/>
      <w:suff w:val="nothing"/>
      <w:lvlText w:val="（%1）"/>
      <w:lvlJc w:val="left"/>
      <w:pPr>
        <w:ind w:left="0" w:firstLine="420"/>
      </w:pPr>
      <w:rPr>
        <w:rFonts w:hint="eastAsia"/>
        <w:sz w:val="24"/>
        <w:szCs w:val="24"/>
      </w:rPr>
    </w:lvl>
  </w:abstractNum>
  <w:abstractNum w:abstractNumId="16">
    <w:nsid w:val="17CA8A7E"/>
    <w:multiLevelType w:val="singleLevel"/>
    <w:tmpl w:val="17CA8A7E"/>
    <w:lvl w:ilvl="0" w:tentative="0">
      <w:start w:val="1"/>
      <w:numFmt w:val="decimal"/>
      <w:suff w:val="nothing"/>
      <w:lvlText w:val="%1."/>
      <w:lvlJc w:val="left"/>
      <w:pPr>
        <w:ind w:left="425" w:hanging="425"/>
      </w:pPr>
      <w:rPr>
        <w:rFonts w:hint="default"/>
      </w:rPr>
    </w:lvl>
  </w:abstractNum>
  <w:abstractNum w:abstractNumId="17">
    <w:nsid w:val="1CA2E947"/>
    <w:multiLevelType w:val="singleLevel"/>
    <w:tmpl w:val="1CA2E947"/>
    <w:lvl w:ilvl="0" w:tentative="0">
      <w:start w:val="3"/>
      <w:numFmt w:val="chineseCounting"/>
      <w:suff w:val="nothing"/>
      <w:lvlText w:val="（%1）"/>
      <w:lvlJc w:val="left"/>
      <w:pPr>
        <w:ind w:left="0" w:firstLine="420"/>
      </w:pPr>
      <w:rPr>
        <w:rFonts w:hint="eastAsia"/>
        <w:sz w:val="24"/>
        <w:szCs w:val="24"/>
      </w:rPr>
    </w:lvl>
  </w:abstractNum>
  <w:abstractNum w:abstractNumId="18">
    <w:nsid w:val="20D1A4A7"/>
    <w:multiLevelType w:val="singleLevel"/>
    <w:tmpl w:val="20D1A4A7"/>
    <w:lvl w:ilvl="0" w:tentative="0">
      <w:start w:val="1"/>
      <w:numFmt w:val="chineseCounting"/>
      <w:suff w:val="nothing"/>
      <w:lvlText w:val="%1、"/>
      <w:lvlJc w:val="left"/>
      <w:rPr>
        <w:rFonts w:hint="eastAsia"/>
      </w:rPr>
    </w:lvl>
  </w:abstractNum>
  <w:abstractNum w:abstractNumId="19">
    <w:nsid w:val="3B7E143B"/>
    <w:multiLevelType w:val="multilevel"/>
    <w:tmpl w:val="3B7E143B"/>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13"/>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0">
    <w:nsid w:val="3D52593E"/>
    <w:multiLevelType w:val="singleLevel"/>
    <w:tmpl w:val="3D52593E"/>
    <w:lvl w:ilvl="0" w:tentative="0">
      <w:start w:val="2"/>
      <w:numFmt w:val="decimal"/>
      <w:suff w:val="nothing"/>
      <w:lvlText w:val="%1."/>
      <w:lvlJc w:val="left"/>
      <w:pPr>
        <w:ind w:left="425" w:leftChars="0" w:hanging="425" w:firstLineChars="0"/>
      </w:pPr>
      <w:rPr>
        <w:rFonts w:hint="default"/>
      </w:rPr>
    </w:lvl>
  </w:abstractNum>
  <w:abstractNum w:abstractNumId="21">
    <w:nsid w:val="3DC44CE5"/>
    <w:multiLevelType w:val="singleLevel"/>
    <w:tmpl w:val="3DC44CE5"/>
    <w:lvl w:ilvl="0" w:tentative="0">
      <w:start w:val="1"/>
      <w:numFmt w:val="decimal"/>
      <w:suff w:val="nothing"/>
      <w:lvlText w:val="%1."/>
      <w:lvlJc w:val="left"/>
      <w:pPr>
        <w:ind w:left="425" w:hanging="425"/>
      </w:pPr>
      <w:rPr>
        <w:rFonts w:hint="default"/>
      </w:rPr>
    </w:lvl>
  </w:abstractNum>
  <w:abstractNum w:abstractNumId="22">
    <w:nsid w:val="3EFF98F7"/>
    <w:multiLevelType w:val="singleLevel"/>
    <w:tmpl w:val="3EFF98F7"/>
    <w:lvl w:ilvl="0" w:tentative="0">
      <w:start w:val="4"/>
      <w:numFmt w:val="decimal"/>
      <w:suff w:val="nothing"/>
      <w:lvlText w:val="%1."/>
      <w:lvlJc w:val="left"/>
      <w:pPr>
        <w:ind w:left="425" w:leftChars="0" w:hanging="425" w:firstLineChars="0"/>
      </w:pPr>
      <w:rPr>
        <w:rFonts w:hint="default"/>
      </w:rPr>
    </w:lvl>
  </w:abstractNum>
  <w:abstractNum w:abstractNumId="23">
    <w:nsid w:val="40729F79"/>
    <w:multiLevelType w:val="singleLevel"/>
    <w:tmpl w:val="40729F79"/>
    <w:lvl w:ilvl="0" w:tentative="0">
      <w:start w:val="1"/>
      <w:numFmt w:val="decimal"/>
      <w:suff w:val="nothing"/>
      <w:lvlText w:val="(%1)"/>
      <w:lvlJc w:val="left"/>
      <w:pPr>
        <w:ind w:left="425" w:leftChars="0" w:hanging="425" w:firstLineChars="0"/>
      </w:pPr>
      <w:rPr>
        <w:rFonts w:hint="default"/>
      </w:rPr>
    </w:lvl>
  </w:abstractNum>
  <w:abstractNum w:abstractNumId="24">
    <w:nsid w:val="430A6314"/>
    <w:multiLevelType w:val="singleLevel"/>
    <w:tmpl w:val="430A6314"/>
    <w:lvl w:ilvl="0" w:tentative="0">
      <w:start w:val="1"/>
      <w:numFmt w:val="decimal"/>
      <w:suff w:val="nothing"/>
      <w:lvlText w:val="%1."/>
      <w:lvlJc w:val="left"/>
      <w:pPr>
        <w:ind w:left="425" w:hanging="425"/>
      </w:pPr>
      <w:rPr>
        <w:rFonts w:hint="default"/>
      </w:rPr>
    </w:lvl>
  </w:abstractNum>
  <w:abstractNum w:abstractNumId="25">
    <w:nsid w:val="440D3FE7"/>
    <w:multiLevelType w:val="singleLevel"/>
    <w:tmpl w:val="440D3FE7"/>
    <w:lvl w:ilvl="0" w:tentative="0">
      <w:start w:val="3"/>
      <w:numFmt w:val="decimal"/>
      <w:suff w:val="nothing"/>
      <w:lvlText w:val="%1."/>
      <w:lvlJc w:val="left"/>
    </w:lvl>
  </w:abstractNum>
  <w:abstractNum w:abstractNumId="26">
    <w:nsid w:val="4F3663DC"/>
    <w:multiLevelType w:val="singleLevel"/>
    <w:tmpl w:val="4F3663DC"/>
    <w:lvl w:ilvl="0" w:tentative="0">
      <w:start w:val="1"/>
      <w:numFmt w:val="chineseCounting"/>
      <w:suff w:val="nothing"/>
      <w:lvlText w:val="（%1）"/>
      <w:lvlJc w:val="left"/>
      <w:pPr>
        <w:ind w:left="0" w:firstLine="420"/>
      </w:pPr>
      <w:rPr>
        <w:rFonts w:hint="eastAsia"/>
      </w:rPr>
    </w:lvl>
  </w:abstractNum>
  <w:abstractNum w:abstractNumId="27">
    <w:nsid w:val="50821208"/>
    <w:multiLevelType w:val="singleLevel"/>
    <w:tmpl w:val="50821208"/>
    <w:lvl w:ilvl="0" w:tentative="0">
      <w:start w:val="1"/>
      <w:numFmt w:val="decimal"/>
      <w:suff w:val="nothing"/>
      <w:lvlText w:val="(%1)"/>
      <w:lvlJc w:val="left"/>
      <w:pPr>
        <w:ind w:left="425" w:hanging="425"/>
      </w:pPr>
      <w:rPr>
        <w:rFonts w:hint="default" w:ascii="宋体" w:hAnsi="宋体" w:eastAsia="宋体" w:cs="宋体"/>
      </w:rPr>
    </w:lvl>
  </w:abstractNum>
  <w:abstractNum w:abstractNumId="28">
    <w:nsid w:val="60A47D31"/>
    <w:multiLevelType w:val="singleLevel"/>
    <w:tmpl w:val="60A47D31"/>
    <w:lvl w:ilvl="0" w:tentative="0">
      <w:start w:val="2"/>
      <w:numFmt w:val="chineseCounting"/>
      <w:suff w:val="nothing"/>
      <w:lvlText w:val="（%1）"/>
      <w:lvlJc w:val="left"/>
      <w:pPr>
        <w:ind w:left="0" w:firstLine="420"/>
      </w:pPr>
      <w:rPr>
        <w:rFonts w:hint="eastAsia"/>
        <w:sz w:val="24"/>
        <w:szCs w:val="24"/>
      </w:rPr>
    </w:lvl>
  </w:abstractNum>
  <w:abstractNum w:abstractNumId="29">
    <w:nsid w:val="614BFF8A"/>
    <w:multiLevelType w:val="singleLevel"/>
    <w:tmpl w:val="614BFF8A"/>
    <w:lvl w:ilvl="0" w:tentative="0">
      <w:start w:val="1"/>
      <w:numFmt w:val="decimal"/>
      <w:suff w:val="nothing"/>
      <w:lvlText w:val="%1."/>
      <w:lvlJc w:val="left"/>
      <w:pPr>
        <w:ind w:left="425" w:hanging="425"/>
      </w:pPr>
      <w:rPr>
        <w:rFonts w:hint="default"/>
      </w:rPr>
    </w:lvl>
  </w:abstractNum>
  <w:abstractNum w:abstractNumId="30">
    <w:nsid w:val="6D5B4E60"/>
    <w:multiLevelType w:val="singleLevel"/>
    <w:tmpl w:val="6D5B4E60"/>
    <w:lvl w:ilvl="0" w:tentative="0">
      <w:start w:val="1"/>
      <w:numFmt w:val="decimal"/>
      <w:suff w:val="nothing"/>
      <w:lvlText w:val="%1."/>
      <w:lvlJc w:val="left"/>
      <w:pPr>
        <w:ind w:left="425" w:hanging="425"/>
      </w:pPr>
      <w:rPr>
        <w:rFonts w:hint="default" w:ascii="宋体" w:hAnsi="宋体" w:eastAsia="宋体" w:cstheme="minorEastAsia"/>
        <w:color w:val="000000" w:themeColor="text1"/>
        <w:sz w:val="24"/>
        <w:szCs w:val="24"/>
        <w14:textFill>
          <w14:solidFill>
            <w14:schemeClr w14:val="tx1"/>
          </w14:solidFill>
        </w14:textFill>
      </w:rPr>
    </w:lvl>
  </w:abstractNum>
  <w:abstractNum w:abstractNumId="31">
    <w:nsid w:val="778D6F77"/>
    <w:multiLevelType w:val="singleLevel"/>
    <w:tmpl w:val="778D6F77"/>
    <w:lvl w:ilvl="0" w:tentative="0">
      <w:start w:val="2"/>
      <w:numFmt w:val="decimal"/>
      <w:suff w:val="nothing"/>
      <w:lvlText w:val="(%1)"/>
      <w:lvlJc w:val="left"/>
      <w:pPr>
        <w:ind w:left="425" w:leftChars="0" w:hanging="425" w:firstLineChars="0"/>
      </w:pPr>
      <w:rPr>
        <w:rFonts w:hint="default"/>
      </w:rPr>
    </w:lvl>
  </w:abstractNum>
  <w:num w:numId="1">
    <w:abstractNumId w:val="19"/>
  </w:num>
  <w:num w:numId="2">
    <w:abstractNumId w:val="18"/>
  </w:num>
  <w:num w:numId="3">
    <w:abstractNumId w:val="1"/>
  </w:num>
  <w:num w:numId="4">
    <w:abstractNumId w:val="29"/>
  </w:num>
  <w:num w:numId="5">
    <w:abstractNumId w:val="23"/>
  </w:num>
  <w:num w:numId="6">
    <w:abstractNumId w:val="31"/>
  </w:num>
  <w:num w:numId="7">
    <w:abstractNumId w:val="7"/>
  </w:num>
  <w:num w:numId="8">
    <w:abstractNumId w:val="0"/>
  </w:num>
  <w:num w:numId="9">
    <w:abstractNumId w:val="26"/>
  </w:num>
  <w:num w:numId="10">
    <w:abstractNumId w:val="30"/>
  </w:num>
  <w:num w:numId="11">
    <w:abstractNumId w:val="6"/>
  </w:num>
  <w:num w:numId="12">
    <w:abstractNumId w:val="14"/>
  </w:num>
  <w:num w:numId="13">
    <w:abstractNumId w:val="28"/>
  </w:num>
  <w:num w:numId="14">
    <w:abstractNumId w:val="15"/>
  </w:num>
  <w:num w:numId="15">
    <w:abstractNumId w:val="21"/>
  </w:num>
  <w:num w:numId="16">
    <w:abstractNumId w:val="2"/>
  </w:num>
  <w:num w:numId="17">
    <w:abstractNumId w:val="16"/>
  </w:num>
  <w:num w:numId="18">
    <w:abstractNumId w:val="17"/>
  </w:num>
  <w:num w:numId="19">
    <w:abstractNumId w:val="4"/>
  </w:num>
  <w:num w:numId="20">
    <w:abstractNumId w:val="11"/>
  </w:num>
  <w:num w:numId="21">
    <w:abstractNumId w:val="24"/>
  </w:num>
  <w:num w:numId="22">
    <w:abstractNumId w:val="8"/>
  </w:num>
  <w:num w:numId="23">
    <w:abstractNumId w:val="20"/>
  </w:num>
  <w:num w:numId="24">
    <w:abstractNumId w:val="10"/>
  </w:num>
  <w:num w:numId="25">
    <w:abstractNumId w:val="13"/>
  </w:num>
  <w:num w:numId="26">
    <w:abstractNumId w:val="25"/>
  </w:num>
  <w:num w:numId="27">
    <w:abstractNumId w:val="27"/>
  </w:num>
  <w:num w:numId="28">
    <w:abstractNumId w:val="22"/>
  </w:num>
  <w:num w:numId="29">
    <w:abstractNumId w:val="9"/>
  </w:num>
  <w:num w:numId="30">
    <w:abstractNumId w:val="3"/>
  </w:num>
  <w:num w:numId="31">
    <w:abstractNumId w:val="1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OWY1MTJhMDFiY2IzOTI4YjNmYWM3ZGU4YTg2YzkifQ=="/>
  </w:docVars>
  <w:rsids>
    <w:rsidRoot w:val="24BC02B8"/>
    <w:rsid w:val="07F6790A"/>
    <w:rsid w:val="1F5418D1"/>
    <w:rsid w:val="21F20BF7"/>
    <w:rsid w:val="22DE456C"/>
    <w:rsid w:val="24BC02B8"/>
    <w:rsid w:val="2C8D7E9A"/>
    <w:rsid w:val="2CDD016E"/>
    <w:rsid w:val="2F9B098D"/>
    <w:rsid w:val="329668C0"/>
    <w:rsid w:val="370D6CBE"/>
    <w:rsid w:val="38010D21"/>
    <w:rsid w:val="45C27E26"/>
    <w:rsid w:val="46F030A7"/>
    <w:rsid w:val="55BB4D90"/>
    <w:rsid w:val="5ECC5D50"/>
    <w:rsid w:val="5F4C5A9F"/>
    <w:rsid w:val="61334324"/>
    <w:rsid w:val="61342AA1"/>
    <w:rsid w:val="67862CBB"/>
    <w:rsid w:val="6EF07839"/>
    <w:rsid w:val="72FC67AC"/>
    <w:rsid w:val="76171B4F"/>
    <w:rsid w:val="7B0A1C83"/>
    <w:rsid w:val="7E6D75B8"/>
    <w:rsid w:val="BCF77BB8"/>
    <w:rsid w:val="EFFFFD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74"/>
      <w:szCs w:val="74"/>
      <w:lang w:val="en-US" w:eastAsia="en-US" w:bidi="ar-SA"/>
    </w:rPr>
  </w:style>
  <w:style w:type="paragraph" w:customStyle="1" w:styleId="3">
    <w:name w:val="Default"/>
    <w:qFormat/>
    <w:uiPriority w:val="0"/>
    <w:pPr>
      <w:widowControl w:val="0"/>
      <w:autoSpaceDE w:val="0"/>
      <w:autoSpaceDN w:val="0"/>
      <w:adjustRightInd w:val="0"/>
    </w:pPr>
    <w:rPr>
      <w:rFonts w:ascii="华文新魏" w:hAnsi="Calibri" w:eastAsia="华文新魏" w:cs="华文新魏"/>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rFonts w:ascii="Calibri" w:hAnsi="Calibri"/>
      <w:sz w:val="24"/>
      <w:szCs w:val="2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9"/>
      <w:szCs w:val="19"/>
      <w:lang w:val="en-US" w:eastAsia="en-US" w:bidi="ar-SA"/>
    </w:rPr>
  </w:style>
  <w:style w:type="paragraph" w:customStyle="1" w:styleId="13">
    <w:name w:val="标题 3_0"/>
    <w:basedOn w:val="14"/>
    <w:next w:val="15"/>
    <w:qFormat/>
    <w:uiPriority w:val="0"/>
    <w:pPr>
      <w:widowControl w:val="0"/>
      <w:numPr>
        <w:ilvl w:val="2"/>
        <w:numId w:val="1"/>
      </w:numPr>
      <w:tabs>
        <w:tab w:val="left" w:pos="720"/>
        <w:tab w:val="left" w:pos="851"/>
      </w:tabs>
      <w:autoSpaceDE w:val="0"/>
      <w:autoSpaceDN w:val="0"/>
      <w:adjustRightInd w:val="0"/>
      <w:snapToGrid w:val="0"/>
      <w:spacing w:line="360" w:lineRule="auto"/>
      <w:jc w:val="both"/>
      <w:outlineLvl w:val="2"/>
    </w:pPr>
    <w:rPr>
      <w:rFonts w:ascii="宋体"/>
    </w:rPr>
  </w:style>
  <w:style w:type="paragraph" w:customStyle="1" w:styleId="14">
    <w:name w:val="正文_0_0"/>
    <w:qFormat/>
    <w:uiPriority w:val="0"/>
    <w:rPr>
      <w:rFonts w:ascii="Times New Roman" w:hAnsi="Times New Roman" w:eastAsia="宋体" w:cs="Times New Roman"/>
      <w:sz w:val="21"/>
      <w:lang w:val="en-US" w:eastAsia="zh-CN" w:bidi="ar-SA"/>
    </w:rPr>
  </w:style>
  <w:style w:type="paragraph" w:customStyle="1" w:styleId="15">
    <w:name w:val="正文缩进_0"/>
    <w:basedOn w:val="14"/>
    <w:qFormat/>
    <w:uiPriority w:val="0"/>
    <w:pPr>
      <w:ind w:firstLine="420"/>
    </w:pPr>
  </w:style>
  <w:style w:type="paragraph" w:styleId="16">
    <w:name w:val="List Paragraph"/>
    <w:basedOn w:val="1"/>
    <w:qFormat/>
    <w:uiPriority w:val="34"/>
    <w:pPr>
      <w:ind w:firstLine="420" w:firstLineChars="200"/>
    </w:pPr>
  </w:style>
  <w:style w:type="paragraph" w:customStyle="1" w:styleId="17">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font81"/>
    <w:basedOn w:val="9"/>
    <w:qFormat/>
    <w:uiPriority w:val="0"/>
    <w:rPr>
      <w:rFonts w:hint="default" w:ascii="Times New Roman" w:hAnsi="Times New Roman" w:cs="Times New Roman"/>
      <w:b/>
      <w:bCs/>
      <w:color w:val="000000"/>
      <w:sz w:val="20"/>
      <w:szCs w:val="20"/>
      <w:u w:val="none"/>
    </w:rPr>
  </w:style>
  <w:style w:type="character" w:customStyle="1" w:styleId="19">
    <w:name w:val="font61"/>
    <w:basedOn w:val="9"/>
    <w:qFormat/>
    <w:uiPriority w:val="0"/>
    <w:rPr>
      <w:rFonts w:hint="eastAsia" w:ascii="宋体" w:hAnsi="宋体" w:eastAsia="宋体" w:cs="宋体"/>
      <w:b/>
      <w:bCs/>
      <w:color w:val="000000"/>
      <w:sz w:val="20"/>
      <w:szCs w:val="20"/>
      <w:u w:val="none"/>
    </w:rPr>
  </w:style>
  <w:style w:type="character" w:customStyle="1" w:styleId="20">
    <w:name w:val="font31"/>
    <w:basedOn w:val="9"/>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2744</Words>
  <Characters>2832</Characters>
  <Lines>0</Lines>
  <Paragraphs>0</Paragraphs>
  <TotalTime>1</TotalTime>
  <ScaleCrop>false</ScaleCrop>
  <LinksUpToDate>false</LinksUpToDate>
  <CharactersWithSpaces>2862</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2024-04-05T23:38:00Z</dcterms:created>
  <dc:creator>天空一直晴朗</dc:creator>
  <cp:lastModifiedBy>赖诚航</cp:lastModifiedBy>
  <dcterms:modified xsi:type="dcterms:W3CDTF">2025-05-19T12:04:10Z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CD0216DDBCCF46A8A1E64C5B914FD622_11</vt:lpwstr>
  </property>
  <property fmtid="{D5CDD505-2E9C-101B-9397-08002B2CF9AE}" pid="4" name="KSOTemplateDocerSaveRecord">
    <vt:lpwstr>eyJoZGlkIjoiMjhjOWY1MTJhMDFiY2IzOTI4YjNmYWM3ZGU4YTg2YzkiLCJ1c2VySWQiOiIyNjkwMTk0NTEifQ==</vt:lpwstr>
  </property>
</Properties>
</file>