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92" w:rsidRDefault="001E7892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1E7892" w:rsidRDefault="00DF4936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自动粪便处理分析系统设备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1E7892" w:rsidRDefault="001E7892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1E7892" w:rsidRDefault="00DF4936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 w:hint="eastAsia"/>
          <w:sz w:val="24"/>
        </w:rPr>
        <w:t>自动粪便处理分析系统设备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1E7892" w:rsidRDefault="00DF4936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jc w:val="center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1E7892">
        <w:trPr>
          <w:jc w:val="center"/>
        </w:trPr>
        <w:tc>
          <w:tcPr>
            <w:tcW w:w="1292" w:type="dxa"/>
          </w:tcPr>
          <w:p w:rsidR="001E7892" w:rsidRDefault="00DF49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1E7892" w:rsidRDefault="00DF49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1E7892" w:rsidRDefault="00DF49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1E7892" w:rsidRDefault="00DF49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1E7892">
        <w:trPr>
          <w:jc w:val="center"/>
        </w:trPr>
        <w:tc>
          <w:tcPr>
            <w:tcW w:w="1292" w:type="dxa"/>
            <w:vAlign w:val="center"/>
          </w:tcPr>
          <w:p w:rsidR="001E7892" w:rsidRDefault="00DF49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  <w:vAlign w:val="center"/>
          </w:tcPr>
          <w:p w:rsidR="001E7892" w:rsidRDefault="00DF49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自动粪便处理分析系统</w:t>
            </w:r>
          </w:p>
        </w:tc>
        <w:tc>
          <w:tcPr>
            <w:tcW w:w="1504" w:type="dxa"/>
            <w:vAlign w:val="center"/>
          </w:tcPr>
          <w:p w:rsidR="001E7892" w:rsidRDefault="00DF49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  <w:vAlign w:val="center"/>
          </w:tcPr>
          <w:p w:rsidR="001E7892" w:rsidRDefault="00DF49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临床检验用于了解消化道及消化系统有无病理现象</w:t>
            </w:r>
          </w:p>
        </w:tc>
      </w:tr>
    </w:tbl>
    <w:p w:rsidR="001E7892" w:rsidRDefault="001E7892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1E7892" w:rsidRDefault="00DF4936">
      <w:pPr>
        <w:pStyle w:val="ad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796" w:type="dxa"/>
        <w:tblInd w:w="-225" w:type="dxa"/>
        <w:tblLook w:val="04A0" w:firstRow="1" w:lastRow="0" w:firstColumn="1" w:lastColumn="0" w:noHBand="0" w:noVBand="1"/>
      </w:tblPr>
      <w:tblGrid>
        <w:gridCol w:w="2015"/>
        <w:gridCol w:w="4335"/>
        <w:gridCol w:w="2446"/>
      </w:tblGrid>
      <w:tr w:rsidR="001E7892">
        <w:trPr>
          <w:trHeight w:val="802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E7892" w:rsidRDefault="00DF49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E7892" w:rsidRDefault="00DF49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仅参考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E7892" w:rsidRDefault="00DF49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1E7892">
        <w:trPr>
          <w:trHeight w:val="153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E7892" w:rsidRPr="002F6F59" w:rsidRDefault="00DF493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F6F59">
              <w:rPr>
                <w:rFonts w:ascii="宋体" w:hAnsi="宋体" w:cs="宋体" w:hint="eastAsia"/>
                <w:sz w:val="24"/>
              </w:rPr>
              <w:t>自动粪便处理分析系统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E7892" w:rsidRPr="002F6F59" w:rsidRDefault="00DF493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F6F59">
              <w:rPr>
                <w:rFonts w:ascii="宋体" w:hAnsi="宋体" w:cs="宋体" w:hint="eastAsia"/>
                <w:sz w:val="24"/>
              </w:rPr>
              <w:t>1</w:t>
            </w:r>
            <w:r w:rsidRPr="002F6F59">
              <w:rPr>
                <w:rFonts w:ascii="宋体" w:hAnsi="宋体" w:cs="宋体" w:hint="eastAsia"/>
                <w:sz w:val="24"/>
              </w:rPr>
              <w:t>、适用于包括但不限于以下功能：粪便样本性状及有形成分（粪便常规）自动检测；粪便隐血、转铁蛋白、轮状病毒、腺病毒、肠病毒、幽门螺杆菌、钙卫蛋白等检测。</w:t>
            </w:r>
          </w:p>
          <w:p w:rsidR="001E7892" w:rsidRPr="002F6F59" w:rsidRDefault="00DF493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F6F59">
              <w:rPr>
                <w:rFonts w:ascii="宋体" w:hAnsi="宋体" w:cs="宋体" w:hint="eastAsia"/>
                <w:sz w:val="24"/>
              </w:rPr>
              <w:t>2</w:t>
            </w:r>
            <w:r w:rsidRPr="002F6F59">
              <w:rPr>
                <w:rFonts w:ascii="宋体" w:hAnsi="宋体" w:cs="宋体" w:hint="eastAsia"/>
                <w:sz w:val="24"/>
              </w:rPr>
              <w:t>、进样方式：流水线式自动进样。</w:t>
            </w:r>
          </w:p>
          <w:p w:rsidR="001E7892" w:rsidRPr="002F6F59" w:rsidRDefault="00DF493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F6F59">
              <w:rPr>
                <w:rFonts w:ascii="宋体" w:hAnsi="宋体" w:cs="宋体" w:hint="eastAsia"/>
                <w:sz w:val="24"/>
              </w:rPr>
              <w:t>3</w:t>
            </w:r>
            <w:r w:rsidRPr="002F6F59">
              <w:rPr>
                <w:rFonts w:ascii="宋体" w:hAnsi="宋体" w:cs="宋体" w:hint="eastAsia"/>
                <w:sz w:val="24"/>
              </w:rPr>
              <w:t>、样本处理速度：</w:t>
            </w:r>
            <w:r w:rsidRPr="002F6F59">
              <w:rPr>
                <w:rFonts w:ascii="宋体" w:hAnsi="宋体" w:cs="宋体" w:hint="eastAsia"/>
                <w:sz w:val="24"/>
              </w:rPr>
              <w:t>≥</w:t>
            </w:r>
            <w:r w:rsidRPr="002F6F59">
              <w:rPr>
                <w:rFonts w:ascii="宋体" w:hAnsi="宋体" w:cs="宋体" w:hint="eastAsia"/>
                <w:sz w:val="24"/>
              </w:rPr>
              <w:t>80</w:t>
            </w:r>
            <w:r w:rsidRPr="002F6F59">
              <w:rPr>
                <w:rFonts w:ascii="宋体" w:hAnsi="宋体" w:cs="宋体" w:hint="eastAsia"/>
                <w:sz w:val="24"/>
              </w:rPr>
              <w:t>样本</w:t>
            </w:r>
            <w:r w:rsidRPr="002F6F59">
              <w:rPr>
                <w:rFonts w:ascii="宋体" w:hAnsi="宋体" w:cs="宋体" w:hint="eastAsia"/>
                <w:sz w:val="24"/>
              </w:rPr>
              <w:t>/</w:t>
            </w:r>
            <w:r w:rsidRPr="002F6F59">
              <w:rPr>
                <w:rFonts w:ascii="宋体" w:hAnsi="宋体" w:cs="宋体" w:hint="eastAsia"/>
                <w:sz w:val="24"/>
              </w:rPr>
              <w:t>小时。</w:t>
            </w:r>
          </w:p>
          <w:p w:rsidR="001E7892" w:rsidRPr="002F6F59" w:rsidRDefault="00DF493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F6F59">
              <w:rPr>
                <w:rFonts w:ascii="宋体" w:hAnsi="宋体" w:cs="宋体" w:hint="eastAsia"/>
                <w:sz w:val="24"/>
              </w:rPr>
              <w:t>4</w:t>
            </w:r>
            <w:r w:rsidRPr="002F6F59">
              <w:rPr>
                <w:rFonts w:ascii="宋体" w:hAnsi="宋体" w:cs="宋体" w:hint="eastAsia"/>
                <w:sz w:val="24"/>
              </w:rPr>
              <w:t>、样本稀释体积范围：</w:t>
            </w:r>
            <w:r w:rsidRPr="002F6F59">
              <w:rPr>
                <w:rFonts w:ascii="宋体" w:hAnsi="宋体" w:cs="宋体" w:hint="eastAsia"/>
                <w:sz w:val="24"/>
              </w:rPr>
              <w:t>0~8ml</w:t>
            </w:r>
            <w:r w:rsidRPr="002F6F59">
              <w:rPr>
                <w:rFonts w:ascii="宋体" w:hAnsi="宋体" w:cs="宋体" w:hint="eastAsia"/>
                <w:sz w:val="24"/>
              </w:rPr>
              <w:t>可选。</w:t>
            </w:r>
          </w:p>
          <w:p w:rsidR="001E7892" w:rsidRPr="002F6F59" w:rsidRDefault="00DF493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F6F59">
              <w:rPr>
                <w:rFonts w:ascii="宋体" w:hAnsi="宋体" w:cs="宋体" w:hint="eastAsia"/>
                <w:sz w:val="24"/>
              </w:rPr>
              <w:t>5</w:t>
            </w:r>
            <w:r w:rsidRPr="002F6F59">
              <w:rPr>
                <w:rFonts w:ascii="宋体" w:hAnsi="宋体" w:cs="宋体" w:hint="eastAsia"/>
                <w:sz w:val="24"/>
              </w:rPr>
              <w:t>、过滤与富集方式：采用沉降过滤，有型成分（包括寄生虫卵）适度富集。</w:t>
            </w:r>
          </w:p>
          <w:p w:rsidR="001E7892" w:rsidRPr="002F6F59" w:rsidRDefault="00DF493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F6F59">
              <w:rPr>
                <w:rFonts w:ascii="宋体" w:hAnsi="宋体" w:cs="宋体" w:hint="eastAsia"/>
                <w:sz w:val="24"/>
              </w:rPr>
              <w:t>6</w:t>
            </w:r>
            <w:r w:rsidRPr="002F6F59">
              <w:rPr>
                <w:rFonts w:ascii="宋体" w:hAnsi="宋体" w:cs="宋体" w:hint="eastAsia"/>
                <w:sz w:val="24"/>
              </w:rPr>
              <w:t>、管路及计数池清洗：需采用有效方式</w:t>
            </w:r>
            <w:r w:rsidRPr="002F6F59">
              <w:rPr>
                <w:rFonts w:ascii="宋体" w:hAnsi="宋体" w:cs="宋体" w:hint="eastAsia"/>
                <w:sz w:val="24"/>
              </w:rPr>
              <w:lastRenderedPageBreak/>
              <w:t>减少样本残留，避免交叉污染。</w:t>
            </w:r>
          </w:p>
          <w:p w:rsidR="001E7892" w:rsidRPr="002F6F59" w:rsidRDefault="00DF493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F6F59">
              <w:rPr>
                <w:rFonts w:ascii="宋体" w:hAnsi="宋体" w:cs="宋体" w:hint="eastAsia"/>
                <w:sz w:val="24"/>
              </w:rPr>
              <w:t>7</w:t>
            </w:r>
            <w:r w:rsidRPr="002F6F59">
              <w:rPr>
                <w:rFonts w:ascii="宋体" w:hAnsi="宋体" w:cs="宋体" w:hint="eastAsia"/>
                <w:sz w:val="24"/>
              </w:rPr>
              <w:t>、有形成分显微镜检：需具备低倍镜（</w:t>
            </w:r>
            <w:r w:rsidRPr="002F6F59">
              <w:rPr>
                <w:rFonts w:ascii="宋体" w:hAnsi="宋体" w:cs="宋体" w:hint="eastAsia"/>
                <w:sz w:val="24"/>
              </w:rPr>
              <w:t>10X</w:t>
            </w:r>
            <w:r w:rsidRPr="002F6F59">
              <w:rPr>
                <w:rFonts w:ascii="宋体" w:hAnsi="宋体" w:cs="宋体" w:hint="eastAsia"/>
                <w:sz w:val="24"/>
              </w:rPr>
              <w:t>）、高倍镜（</w:t>
            </w:r>
            <w:r w:rsidRPr="002F6F59">
              <w:rPr>
                <w:rFonts w:ascii="宋体" w:hAnsi="宋体" w:cs="宋体" w:hint="eastAsia"/>
                <w:sz w:val="24"/>
              </w:rPr>
              <w:t>40X</w:t>
            </w:r>
            <w:r w:rsidRPr="002F6F59">
              <w:rPr>
                <w:rFonts w:ascii="宋体" w:hAnsi="宋体" w:cs="宋体" w:hint="eastAsia"/>
                <w:sz w:val="24"/>
              </w:rPr>
              <w:t>）自动切换功能；具备高速</w:t>
            </w:r>
            <w:r w:rsidRPr="002F6F59">
              <w:rPr>
                <w:rFonts w:ascii="宋体" w:hAnsi="宋体" w:cs="宋体" w:hint="eastAsia"/>
                <w:sz w:val="24"/>
              </w:rPr>
              <w:t>CMOS</w:t>
            </w:r>
            <w:r w:rsidRPr="002F6F59">
              <w:rPr>
                <w:rFonts w:ascii="宋体" w:hAnsi="宋体" w:cs="宋体" w:hint="eastAsia"/>
                <w:sz w:val="24"/>
              </w:rPr>
              <w:t>数码自动显微镜；计数池移动式多视野断层扫描且视野数可调。</w:t>
            </w:r>
          </w:p>
          <w:p w:rsidR="001E7892" w:rsidRPr="002F6F59" w:rsidRDefault="00DF493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F6F59">
              <w:rPr>
                <w:rFonts w:ascii="宋体" w:hAnsi="宋体" w:cs="宋体" w:hint="eastAsia"/>
                <w:sz w:val="24"/>
              </w:rPr>
              <w:t>8</w:t>
            </w:r>
            <w:r w:rsidRPr="002F6F59">
              <w:rPr>
                <w:rFonts w:ascii="宋体" w:hAnsi="宋体" w:cs="宋体" w:hint="eastAsia"/>
                <w:sz w:val="24"/>
              </w:rPr>
              <w:t>、镜检有型成分初筛：需具备</w:t>
            </w:r>
            <w:r w:rsidRPr="002F6F59">
              <w:rPr>
                <w:rFonts w:ascii="宋体" w:hAnsi="宋体" w:cs="宋体" w:hint="eastAsia"/>
                <w:sz w:val="24"/>
              </w:rPr>
              <w:t>AI</w:t>
            </w:r>
            <w:r w:rsidRPr="002F6F59">
              <w:rPr>
                <w:rFonts w:ascii="宋体" w:hAnsi="宋体" w:cs="宋体" w:hint="eastAsia"/>
                <w:sz w:val="24"/>
              </w:rPr>
              <w:t>图形识别技术可针对寄生虫卵、红细胞等常见有形成分进行阴性排除和阳性提示。</w:t>
            </w:r>
          </w:p>
          <w:p w:rsidR="001E7892" w:rsidRPr="002F6F59" w:rsidRDefault="00DF493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F6F59">
              <w:rPr>
                <w:rFonts w:ascii="宋体" w:hAnsi="宋体" w:cs="宋体" w:hint="eastAsia"/>
                <w:sz w:val="24"/>
              </w:rPr>
              <w:t>9</w:t>
            </w:r>
            <w:r w:rsidRPr="002F6F59">
              <w:rPr>
                <w:rFonts w:ascii="宋体" w:hAnsi="宋体" w:cs="宋体" w:hint="eastAsia"/>
                <w:sz w:val="24"/>
              </w:rPr>
              <w:t>、检测卡：需具备</w:t>
            </w:r>
            <w:r w:rsidRPr="002F6F59">
              <w:rPr>
                <w:rFonts w:ascii="宋体" w:hAnsi="宋体" w:cs="宋体" w:hint="eastAsia"/>
                <w:sz w:val="24"/>
              </w:rPr>
              <w:t>6</w:t>
            </w:r>
            <w:r w:rsidRPr="002F6F59">
              <w:rPr>
                <w:rFonts w:ascii="宋体" w:hAnsi="宋体" w:cs="宋体" w:hint="eastAsia"/>
                <w:sz w:val="24"/>
              </w:rPr>
              <w:t>通道或以上数量，每个通道支持检测单项卡和双联卡。</w:t>
            </w:r>
          </w:p>
          <w:p w:rsidR="001E7892" w:rsidRPr="002F6F59" w:rsidRDefault="00DF493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F6F59">
              <w:rPr>
                <w:rFonts w:ascii="宋体" w:hAnsi="宋体" w:cs="宋体" w:hint="eastAsia"/>
                <w:sz w:val="24"/>
              </w:rPr>
              <w:t>10</w:t>
            </w:r>
            <w:r w:rsidRPr="002F6F59">
              <w:rPr>
                <w:rFonts w:ascii="宋体" w:hAnsi="宋体" w:cs="宋体" w:hint="eastAsia"/>
                <w:sz w:val="24"/>
              </w:rPr>
              <w:t>、需具备</w:t>
            </w:r>
            <w:r w:rsidRPr="002F6F59">
              <w:rPr>
                <w:rFonts w:ascii="宋体" w:hAnsi="宋体" w:cs="宋体" w:hint="eastAsia"/>
                <w:sz w:val="24"/>
              </w:rPr>
              <w:t>≥</w:t>
            </w:r>
            <w:r w:rsidRPr="002F6F59">
              <w:rPr>
                <w:rFonts w:ascii="宋体" w:hAnsi="宋体" w:cs="宋体" w:hint="eastAsia"/>
                <w:sz w:val="24"/>
              </w:rPr>
              <w:t>15</w:t>
            </w:r>
            <w:r w:rsidRPr="002F6F59">
              <w:rPr>
                <w:rFonts w:ascii="宋体" w:hAnsi="宋体" w:cs="宋体" w:hint="eastAsia"/>
                <w:sz w:val="24"/>
              </w:rPr>
              <w:t>个恒温孵育位；孵育时间≤</w:t>
            </w:r>
            <w:r w:rsidRPr="002F6F59">
              <w:rPr>
                <w:rFonts w:ascii="宋体" w:hAnsi="宋体" w:cs="宋体" w:hint="eastAsia"/>
                <w:sz w:val="24"/>
              </w:rPr>
              <w:t>5</w:t>
            </w:r>
            <w:r w:rsidRPr="002F6F59">
              <w:rPr>
                <w:rFonts w:ascii="宋体" w:hAnsi="宋体" w:cs="宋体" w:hint="eastAsia"/>
                <w:sz w:val="24"/>
              </w:rPr>
              <w:t>分钟。</w:t>
            </w:r>
          </w:p>
          <w:p w:rsidR="001E7892" w:rsidRPr="002F6F59" w:rsidRDefault="00DF493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F6F59">
              <w:rPr>
                <w:rFonts w:ascii="宋体" w:hAnsi="宋体" w:cs="宋体" w:hint="eastAsia"/>
                <w:sz w:val="24"/>
              </w:rPr>
              <w:t>11</w:t>
            </w:r>
            <w:r w:rsidRPr="002F6F59">
              <w:rPr>
                <w:rFonts w:ascii="宋体" w:hAnsi="宋体" w:cs="宋体" w:hint="eastAsia"/>
                <w:sz w:val="24"/>
              </w:rPr>
              <w:t>、需支持</w:t>
            </w:r>
            <w:r w:rsidRPr="002F6F59">
              <w:rPr>
                <w:rFonts w:ascii="宋体" w:hAnsi="宋体" w:cs="宋体" w:hint="eastAsia"/>
                <w:sz w:val="24"/>
              </w:rPr>
              <w:t>LIS</w:t>
            </w:r>
            <w:r w:rsidRPr="002F6F59">
              <w:rPr>
                <w:rFonts w:ascii="宋体" w:hAnsi="宋体" w:cs="宋体" w:hint="eastAsia"/>
                <w:sz w:val="24"/>
              </w:rPr>
              <w:t>连接。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E7892" w:rsidRPr="002F6F59" w:rsidRDefault="00DF4936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2F6F59">
              <w:rPr>
                <w:rFonts w:ascii="宋体" w:hAnsi="宋体" w:cs="宋体" w:hint="eastAsia"/>
                <w:sz w:val="24"/>
              </w:rPr>
              <w:lastRenderedPageBreak/>
              <w:t>标准配置</w:t>
            </w:r>
          </w:p>
        </w:tc>
      </w:tr>
    </w:tbl>
    <w:p w:rsidR="001E7892" w:rsidRDefault="00DF4936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1E7892" w:rsidRDefault="00DF4936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1E7892" w:rsidRDefault="00DF4936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1E7892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1E7892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892" w:rsidRDefault="001E78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892" w:rsidRDefault="001E78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892" w:rsidRDefault="001E78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892" w:rsidRDefault="001E78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892" w:rsidRDefault="001E78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892" w:rsidRDefault="001E78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892" w:rsidRDefault="001E78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892" w:rsidRDefault="001E78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892" w:rsidRDefault="001E78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E7892" w:rsidRDefault="00DF4936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1E7892" w:rsidRDefault="00DF4936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1E7892" w:rsidRDefault="00DF4936"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800" w:type="dxa"/>
        <w:tblInd w:w="-952" w:type="dxa"/>
        <w:tblLayout w:type="fixed"/>
        <w:tblLook w:val="04A0" w:firstRow="1" w:lastRow="0" w:firstColumn="1" w:lastColumn="0" w:noHBand="0" w:noVBand="1"/>
      </w:tblPr>
      <w:tblGrid>
        <w:gridCol w:w="781"/>
        <w:gridCol w:w="1562"/>
        <w:gridCol w:w="1241"/>
        <w:gridCol w:w="845"/>
        <w:gridCol w:w="968"/>
        <w:gridCol w:w="1159"/>
        <w:gridCol w:w="1034"/>
        <w:gridCol w:w="1335"/>
        <w:gridCol w:w="1080"/>
        <w:gridCol w:w="795"/>
      </w:tblGrid>
      <w:tr w:rsidR="001E7892">
        <w:tc>
          <w:tcPr>
            <w:tcW w:w="781" w:type="dxa"/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62" w:type="dxa"/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耗材产品名称</w:t>
            </w:r>
          </w:p>
        </w:tc>
        <w:tc>
          <w:tcPr>
            <w:tcW w:w="1241" w:type="dxa"/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耗材规格型号</w:t>
            </w:r>
          </w:p>
        </w:tc>
        <w:tc>
          <w:tcPr>
            <w:tcW w:w="845" w:type="dxa"/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968" w:type="dxa"/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159" w:type="dxa"/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注册证号</w:t>
            </w:r>
          </w:p>
        </w:tc>
        <w:tc>
          <w:tcPr>
            <w:tcW w:w="1034" w:type="dxa"/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医保码</w:t>
            </w:r>
          </w:p>
        </w:tc>
        <w:tc>
          <w:tcPr>
            <w:tcW w:w="1335" w:type="dxa"/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是否一次性使用耗材</w:t>
            </w:r>
          </w:p>
        </w:tc>
        <w:tc>
          <w:tcPr>
            <w:tcW w:w="1080" w:type="dxa"/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是否专机专用耗材</w:t>
            </w:r>
          </w:p>
        </w:tc>
        <w:tc>
          <w:tcPr>
            <w:tcW w:w="795" w:type="dxa"/>
            <w:vAlign w:val="center"/>
          </w:tcPr>
          <w:p w:rsidR="001E7892" w:rsidRDefault="00DF4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1E7892">
        <w:tc>
          <w:tcPr>
            <w:tcW w:w="781" w:type="dxa"/>
          </w:tcPr>
          <w:p w:rsidR="001E7892" w:rsidRDefault="001E78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2" w:type="dxa"/>
          </w:tcPr>
          <w:p w:rsidR="001E7892" w:rsidRDefault="001E78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1" w:type="dxa"/>
          </w:tcPr>
          <w:p w:rsidR="001E7892" w:rsidRDefault="001E78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5" w:type="dxa"/>
          </w:tcPr>
          <w:p w:rsidR="001E7892" w:rsidRDefault="001E78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68" w:type="dxa"/>
          </w:tcPr>
          <w:p w:rsidR="001E7892" w:rsidRDefault="001E78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9" w:type="dxa"/>
          </w:tcPr>
          <w:p w:rsidR="001E7892" w:rsidRDefault="001E78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4" w:type="dxa"/>
          </w:tcPr>
          <w:p w:rsidR="001E7892" w:rsidRDefault="001E78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5" w:type="dxa"/>
          </w:tcPr>
          <w:p w:rsidR="001E7892" w:rsidRDefault="001E78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</w:tcPr>
          <w:p w:rsidR="001E7892" w:rsidRDefault="001E78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5" w:type="dxa"/>
          </w:tcPr>
          <w:p w:rsidR="001E7892" w:rsidRDefault="001E78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1E7892" w:rsidRDefault="00DF4936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:rsidR="001E7892" w:rsidRDefault="00DF493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1E7892" w:rsidRDefault="00DF493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1E7892" w:rsidRDefault="00DF493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1E7892" w:rsidRDefault="00DF493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lastRenderedPageBreak/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1E7892" w:rsidRDefault="00DF4936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1E7892" w:rsidRDefault="00DF493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1E7892" w:rsidRDefault="00DF493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1E7892" w:rsidRDefault="00DF493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1E7892" w:rsidRDefault="00DF4936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1E7892" w:rsidRDefault="00DF4936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1E7892" w:rsidRDefault="00DF4936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1E7892" w:rsidRDefault="00DF4936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1E7892" w:rsidRDefault="00DF4936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邮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纸质材料到医院地点。</w:t>
      </w:r>
    </w:p>
    <w:p w:rsidR="001E7892" w:rsidRDefault="00DF4936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1E7892" w:rsidRDefault="00DF4936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1E7892" w:rsidRDefault="00DF4936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）医院联系方式</w:t>
      </w:r>
    </w:p>
    <w:p w:rsidR="001E7892" w:rsidRDefault="00DF493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戴</w:t>
      </w:r>
      <w:r>
        <w:rPr>
          <w:rFonts w:ascii="宋体" w:hAnsi="宋体" w:hint="eastAsia"/>
          <w:color w:val="000000"/>
          <w:szCs w:val="21"/>
        </w:rPr>
        <w:t>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1E7892" w:rsidRDefault="00DF4936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1E7892" w:rsidRDefault="001E7892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1E7892" w:rsidRDefault="00DF4936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/>
          <w:color w:val="000000"/>
          <w:szCs w:val="21"/>
          <w:shd w:val="clear" w:color="auto" w:fill="FFFFFF"/>
        </w:rPr>
        <w:t>自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动粪便处理分析系统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采购项目市场调查公告</w:t>
      </w:r>
    </w:p>
    <w:p w:rsidR="001E7892" w:rsidRDefault="001E7892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1E7892" w:rsidRDefault="00DF4936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1E7892" w:rsidRDefault="00DF4936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日</w:t>
      </w:r>
    </w:p>
    <w:sectPr w:rsidR="001E789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36" w:rsidRDefault="00DF4936">
      <w:r>
        <w:separator/>
      </w:r>
    </w:p>
  </w:endnote>
  <w:endnote w:type="continuationSeparator" w:id="0">
    <w:p w:rsidR="00DF4936" w:rsidRDefault="00DF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92" w:rsidRDefault="00DF493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7892" w:rsidRDefault="00DF4936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F6F5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E7892" w:rsidRDefault="00DF4936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F6F5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36" w:rsidRDefault="00DF4936">
      <w:r>
        <w:separator/>
      </w:r>
    </w:p>
  </w:footnote>
  <w:footnote w:type="continuationSeparator" w:id="0">
    <w:p w:rsidR="00DF4936" w:rsidRDefault="00DF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kgOfficeServlet?tolen=1b2aeac7a90348dfa7d05a4035522346&amp;tko=KINGGRID_JSAPI&amp;m=s"/>
  </w:docVars>
  <w:rsids>
    <w:rsidRoot w:val="00172A27"/>
    <w:rsid w:val="AEF7A110"/>
    <w:rsid w:val="AF5C4425"/>
    <w:rsid w:val="EE7C1501"/>
    <w:rsid w:val="F6BBE296"/>
    <w:rsid w:val="F7EF55FD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1E7892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2F6F59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4936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C333253"/>
    <w:rsid w:val="0C9625C3"/>
    <w:rsid w:val="0C9F66CF"/>
    <w:rsid w:val="0CA10656"/>
    <w:rsid w:val="0CA15170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68759C"/>
    <w:rsid w:val="14C62D5A"/>
    <w:rsid w:val="14E05AD6"/>
    <w:rsid w:val="15020157"/>
    <w:rsid w:val="15250368"/>
    <w:rsid w:val="15344AB2"/>
    <w:rsid w:val="1537135F"/>
    <w:rsid w:val="15A325BE"/>
    <w:rsid w:val="15DB5E57"/>
    <w:rsid w:val="160761C3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D04A4B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23714B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74630A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F26E0F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6FC01F"/>
    <w:rsid w:val="7F7F1206"/>
    <w:rsid w:val="7F871AF4"/>
    <w:rsid w:val="7F949A04"/>
    <w:rsid w:val="7FC12377"/>
    <w:rsid w:val="7FD55449"/>
    <w:rsid w:val="7FFDEE3E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3E03A07-4375-4F54-9ABA-69223024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2024-04-12T07:39:00Z</dcterms:created>
  <dcterms:modified xsi:type="dcterms:W3CDTF">2025-06-09T09:13:00Z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1B6A2A1F957A406E818C3C4693335B67_13</vt:lpwstr>
  </property>
  <property fmtid="{D5CDD505-2E9C-101B-9397-08002B2CF9AE}" pid="4" name="KSOTemplateDocerSaveRecord">
    <vt:lpwstr>eyJoZGlkIjoiN2QyMjg0YTNhZDkxMDgwOTIwODRhOTU0MjcxYTk4OGQifQ==</vt:lpwstr>
  </property>
</Properties>
</file>