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2" w:name="_GoBack"/>
      <w:bookmarkEnd w:id="2"/>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ind w:firstLine="480" w:firstLineChars="200"/>
        <w:rPr>
          <w:bCs/>
          <w:szCs w:val="21"/>
        </w:rPr>
      </w:pPr>
      <w:r>
        <w:rPr>
          <w:rFonts w:hint="eastAsia"/>
          <w:bCs/>
          <w:szCs w:val="21"/>
        </w:rPr>
        <w:t>根据贵方发布的《</w:t>
      </w:r>
      <w:r>
        <w:rPr>
          <w:rFonts w:hint="eastAsia"/>
          <w:szCs w:val="21"/>
        </w:rPr>
        <w:t>广州医科大学附属番禺中心医院数据中心扩容项目</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p>
    <w:p>
      <w:pPr>
        <w:ind w:firstLine="480" w:firstLineChars="200"/>
        <w:rPr>
          <w:bCs/>
          <w:szCs w:val="21"/>
        </w:rPr>
      </w:pPr>
      <w:r>
        <w:rPr>
          <w:rFonts w:hint="eastAsia"/>
          <w:bCs/>
          <w:szCs w:val="21"/>
        </w:rPr>
        <w:t xml:space="preserve">2．我方郑重承诺：我方同意贵方有权要求我方按照用户需求书的要求提供货物和服务。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rFonts w:hint="eastAsia"/>
          <w:bCs/>
          <w:szCs w:val="21"/>
        </w:rPr>
        <w:t>3．我方的方案报价文件自截止之日起有效期为为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rFonts w:hint="eastAsia"/>
          <w:bCs/>
          <w:szCs w:val="21"/>
        </w:rPr>
        <w:t>4．我方同意提供按照贵方可能要求的与我方市场调研有关的一切数据或资料，理解贵方不一定要接受最低价的报价或收到的任何报价。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rFonts w:hint="eastAsia"/>
          <w:bCs/>
          <w:szCs w:val="21"/>
        </w:rPr>
        <w:t>5．与本谈判有关的一切正式往来通讯请寄：</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szCs w:val="21"/>
        </w:rPr>
        <w:t>广州医科大学附属番禺中心医院数据中心扩容项目</w:t>
      </w:r>
      <w:r>
        <w:rPr>
          <w:rFonts w:hint="eastAsia" w:cs="Arial"/>
          <w:szCs w:val="21"/>
        </w:rPr>
        <w:t>》</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szCs w:val="21"/>
        </w:rPr>
      </w:pPr>
    </w:p>
    <w:p>
      <w:pPr>
        <w:rPr>
          <w:szCs w:val="21"/>
        </w:rPr>
      </w:pPr>
    </w:p>
    <w:p>
      <w:pPr>
        <w:rPr>
          <w:rFonts w:cs="Arial"/>
          <w:szCs w:val="21"/>
        </w:rPr>
      </w:pPr>
    </w:p>
    <w:p>
      <w:pPr>
        <w:rPr>
          <w:rFonts w:cs="Arial"/>
          <w:szCs w:val="21"/>
        </w:rPr>
      </w:pPr>
    </w:p>
    <w:p>
      <w:pPr>
        <w:pStyle w:val="3"/>
        <w:numPr>
          <w:ilvl w:val="0"/>
          <w:numId w:val="0"/>
        </w:numPr>
        <w:jc w:val="center"/>
        <w:rPr>
          <w:rFonts w:cs="宋体"/>
          <w:sz w:val="24"/>
          <w:szCs w:val="24"/>
        </w:rPr>
      </w:pPr>
      <w:r>
        <w:rPr>
          <w:rFonts w:hint="eastAsia" w:cs="宋体"/>
          <w:sz w:val="24"/>
          <w:szCs w:val="24"/>
        </w:rPr>
        <w:t>附件</w:t>
      </w:r>
      <w:r>
        <w:rPr>
          <w:rFonts w:cs="宋体"/>
          <w:sz w:val="24"/>
          <w:szCs w:val="24"/>
        </w:rPr>
        <w:t xml:space="preserve">3  </w:t>
      </w:r>
      <w:r>
        <w:rPr>
          <w:rFonts w:hint="eastAsia" w:cs="宋体"/>
          <w:sz w:val="24"/>
          <w:szCs w:val="24"/>
        </w:rPr>
        <w:t>报价格式要求</w:t>
      </w:r>
    </w:p>
    <w:p>
      <w:r>
        <w:rPr>
          <w:rFonts w:hint="eastAsia"/>
        </w:rPr>
        <w:t>广州医科大学附属番禺中心医院：</w:t>
      </w:r>
    </w:p>
    <w:p/>
    <w:p>
      <w:pPr>
        <w:ind w:firstLine="720" w:firstLineChars="300"/>
      </w:pPr>
      <w:r>
        <w:rPr>
          <w:rFonts w:hint="eastAsia"/>
        </w:rPr>
        <w:t>在研究了方案和有关文件后，我们就《</w:t>
      </w:r>
      <w:r>
        <w:rPr>
          <w:rFonts w:hint="eastAsia"/>
          <w:szCs w:val="21"/>
        </w:rPr>
        <w:t>广州医科大学附属番禺中心医院数据中心扩容项目</w:t>
      </w:r>
      <w:r>
        <w:rPr>
          <w:rFonts w:hint="eastAsia"/>
        </w:rPr>
        <w:t>》的报价明细如下：</w:t>
      </w:r>
    </w:p>
    <w:p/>
    <w:p>
      <w:r>
        <w:rPr>
          <w:rFonts w:hint="eastAsia"/>
        </w:rPr>
        <w:t>一、</w:t>
      </w:r>
      <w:r>
        <w:t>数据中心扩容建设</w:t>
      </w:r>
      <w:r>
        <w:rPr>
          <w:rFonts w:hint="eastAsia"/>
        </w:rPr>
        <w:t>报价</w:t>
      </w:r>
    </w:p>
    <w:p>
      <w:pPr>
        <w:rPr>
          <w:rFonts w:hint="eastAsia"/>
        </w:rPr>
      </w:pPr>
      <w:r>
        <w:rPr>
          <w:rFonts w:hint="eastAsia"/>
        </w:rPr>
        <w:t>具体建设需求清单包括但不限以下（参数详见附件：“需求书”第三章“数据中心建设详细参数要求”）：</w:t>
      </w:r>
    </w:p>
    <w:tbl>
      <w:tblPr>
        <w:tblStyle w:val="44"/>
        <w:tblW w:w="0" w:type="auto"/>
        <w:tblInd w:w="-5" w:type="dxa"/>
        <w:tblLayout w:type="autofit"/>
        <w:tblCellMar>
          <w:top w:w="0" w:type="dxa"/>
          <w:left w:w="108" w:type="dxa"/>
          <w:bottom w:w="0" w:type="dxa"/>
          <w:right w:w="108" w:type="dxa"/>
        </w:tblCellMar>
      </w:tblPr>
      <w:tblGrid>
        <w:gridCol w:w="555"/>
        <w:gridCol w:w="2062"/>
        <w:gridCol w:w="1530"/>
        <w:gridCol w:w="555"/>
        <w:gridCol w:w="555"/>
        <w:gridCol w:w="1176"/>
        <w:gridCol w:w="1047"/>
        <w:gridCol w:w="1047"/>
      </w:tblGrid>
      <w:tr>
        <w:tblPrEx>
          <w:tblCellMar>
            <w:top w:w="0" w:type="dxa"/>
            <w:left w:w="108" w:type="dxa"/>
            <w:bottom w:w="0" w:type="dxa"/>
            <w:right w:w="108" w:type="dxa"/>
          </w:tblCellMar>
        </w:tblPrEx>
        <w:trPr>
          <w:trHeight w:val="51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b/>
                <w:bCs/>
                <w:color w:val="000000"/>
                <w:sz w:val="21"/>
                <w:szCs w:val="21"/>
              </w:rPr>
            </w:pPr>
            <w:r>
              <w:rPr>
                <w:rFonts w:hint="eastAsia"/>
                <w:b/>
                <w:bCs/>
                <w:color w:val="000000"/>
                <w:sz w:val="21"/>
                <w:szCs w:val="21"/>
              </w:rPr>
              <w:t>序号</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模块</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业务</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数量</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单位</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参数/品牌/型号</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单价（￥）</w:t>
            </w:r>
          </w:p>
        </w:tc>
        <w:tc>
          <w:tcPr>
            <w:tcW w:w="0" w:type="auto"/>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合计（￥）</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计算资源池</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物理机服务器</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6</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000000" w:fill="FFFFFF"/>
            <w:vAlign w:val="center"/>
          </w:tcPr>
          <w:p>
            <w:pPr>
              <w:jc w:val="center"/>
              <w:rPr>
                <w:rFonts w:hint="eastAsia"/>
                <w:color w:val="000000"/>
                <w:sz w:val="21"/>
                <w:szCs w:val="21"/>
              </w:rPr>
            </w:pPr>
            <w:r>
              <w:rPr>
                <w:rFonts w:hint="eastAsia"/>
                <w:color w:val="000000"/>
                <w:sz w:val="21"/>
                <w:szCs w:val="21"/>
              </w:rPr>
              <w:t>虚拟化服务器集群1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8</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3</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000000" w:fill="FFFFFF"/>
            <w:vAlign w:val="center"/>
          </w:tcPr>
          <w:p>
            <w:pPr>
              <w:jc w:val="center"/>
              <w:rPr>
                <w:rFonts w:hint="eastAsia"/>
                <w:color w:val="000000"/>
                <w:sz w:val="21"/>
                <w:szCs w:val="21"/>
              </w:rPr>
            </w:pPr>
            <w:r>
              <w:rPr>
                <w:rFonts w:hint="eastAsia"/>
                <w:color w:val="000000"/>
                <w:sz w:val="21"/>
                <w:szCs w:val="21"/>
              </w:rPr>
              <w:t>虚拟化服务器集群2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10</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4</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存储池</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光纤交换机</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5</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数据库存储器</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6</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PACS影像存储器</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7</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备份</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备份一体机</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8</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网络和安全</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核心交换机板卡</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个</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9</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服务器区交换机</w:t>
            </w:r>
          </w:p>
        </w:tc>
        <w:tc>
          <w:tcPr>
            <w:tcW w:w="0" w:type="auto"/>
            <w:tcBorders>
              <w:top w:val="nil"/>
              <w:left w:val="nil"/>
              <w:bottom w:val="single" w:color="auto" w:sz="4" w:space="0"/>
              <w:right w:val="single" w:color="auto" w:sz="4" w:space="0"/>
            </w:tcBorders>
            <w:shd w:val="clear" w:color="000000" w:fill="FFFFFF"/>
            <w:vAlign w:val="center"/>
          </w:tcPr>
          <w:p>
            <w:pPr>
              <w:jc w:val="center"/>
              <w:rPr>
                <w:rFonts w:hint="eastAsia"/>
                <w:color w:val="000000"/>
                <w:sz w:val="21"/>
                <w:szCs w:val="21"/>
              </w:rPr>
            </w:pPr>
            <w:r>
              <w:rPr>
                <w:rFonts w:hint="eastAsia"/>
                <w:color w:val="000000"/>
                <w:sz w:val="21"/>
                <w:szCs w:val="21"/>
              </w:rPr>
              <w:t>2</w:t>
            </w:r>
          </w:p>
        </w:tc>
        <w:tc>
          <w:tcPr>
            <w:tcW w:w="0" w:type="auto"/>
            <w:tcBorders>
              <w:top w:val="nil"/>
              <w:left w:val="nil"/>
              <w:bottom w:val="single" w:color="auto" w:sz="4" w:space="0"/>
              <w:right w:val="single" w:color="auto" w:sz="4" w:space="0"/>
            </w:tcBorders>
            <w:shd w:val="clear" w:color="000000" w:fill="FFFFFF"/>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000000" w:fill="FFFFFF"/>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10</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管理交换机</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11</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TAP交换机</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12</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负载均衡</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13</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数据库审计</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14</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日志审计</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15</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杀毒软件</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16</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机房建设</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机柜</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7</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个</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17</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UPS电池</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18</w:t>
            </w:r>
          </w:p>
        </w:tc>
        <w:tc>
          <w:tcPr>
            <w:tcW w:w="0" w:type="auto"/>
            <w:vMerge w:val="continue"/>
            <w:tcBorders>
              <w:top w:val="nil"/>
              <w:left w:val="single" w:color="auto" w:sz="4" w:space="0"/>
              <w:bottom w:val="single" w:color="auto" w:sz="4" w:space="0"/>
              <w:right w:val="single" w:color="auto" w:sz="4" w:space="0"/>
            </w:tcBorders>
            <w:vAlign w:val="center"/>
          </w:tcPr>
          <w:p>
            <w:pPr>
              <w:rPr>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精密空调</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eastAsia"/>
                <w:color w:val="000000"/>
                <w:sz w:val="21"/>
                <w:szCs w:val="21"/>
              </w:rPr>
            </w:pPr>
            <w:r>
              <w:rPr>
                <w:rFonts w:hint="eastAsia"/>
                <w:color w:val="000000"/>
                <w:sz w:val="21"/>
                <w:szCs w:val="21"/>
              </w:rPr>
              <w:t>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台</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19</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运维软件</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bookmarkStart w:id="0" w:name="RANGE!C20"/>
            <w:r>
              <w:rPr>
                <w:rFonts w:hint="eastAsia"/>
                <w:color w:val="000000"/>
                <w:sz w:val="21"/>
                <w:szCs w:val="21"/>
              </w:rPr>
              <w:t>一体化运维平台</w:t>
            </w:r>
            <w:bookmarkEnd w:id="0"/>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套</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20</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数据中心集成服务</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bookmarkStart w:id="1" w:name="RANGE!C21"/>
            <w:r>
              <w:rPr>
                <w:rFonts w:hint="eastAsia"/>
                <w:color w:val="000000"/>
                <w:sz w:val="21"/>
                <w:szCs w:val="21"/>
              </w:rPr>
              <w:t>集成实施服务</w:t>
            </w:r>
            <w:bookmarkEnd w:id="1"/>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项</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21</w:t>
            </w:r>
          </w:p>
        </w:tc>
        <w:tc>
          <w:tcPr>
            <w:tcW w:w="0" w:type="auto"/>
            <w:vMerge w:val="continue"/>
            <w:tcBorders>
              <w:top w:val="nil"/>
              <w:left w:val="single" w:color="auto" w:sz="4" w:space="0"/>
              <w:bottom w:val="nil"/>
              <w:right w:val="single" w:color="auto" w:sz="4" w:space="0"/>
            </w:tcBorders>
            <w:vAlign w:val="center"/>
          </w:tcPr>
          <w:p>
            <w:pPr>
              <w:rPr>
                <w:color w:val="000000"/>
                <w:sz w:val="21"/>
                <w:szCs w:val="21"/>
              </w:rPr>
            </w:pP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调试与优化服务</w:t>
            </w: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1</w:t>
            </w: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项</w:t>
            </w: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　</w:t>
            </w:r>
          </w:p>
        </w:tc>
        <w:tc>
          <w:tcPr>
            <w:tcW w:w="0" w:type="auto"/>
            <w:tcBorders>
              <w:top w:val="nil"/>
              <w:left w:val="nil"/>
              <w:bottom w:val="nil"/>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0" w:type="auto"/>
            <w:tcBorders>
              <w:top w:val="nil"/>
              <w:left w:val="nil"/>
              <w:bottom w:val="nil"/>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nil"/>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r>
              <w:rPr>
                <w:color w:val="000000"/>
                <w:sz w:val="21"/>
                <w:szCs w:val="21"/>
              </w:rPr>
              <w:t>2</w:t>
            </w:r>
          </w:p>
        </w:tc>
        <w:tc>
          <w:tcPr>
            <w:tcW w:w="0" w:type="auto"/>
            <w:tcBorders>
              <w:top w:val="nil"/>
              <w:left w:val="single" w:color="auto" w:sz="4" w:space="0"/>
              <w:bottom w:val="nil"/>
              <w:right w:val="single" w:color="auto" w:sz="4" w:space="0"/>
            </w:tcBorders>
            <w:vAlign w:val="center"/>
          </w:tcPr>
          <w:p>
            <w:pPr>
              <w:rPr>
                <w:rFonts w:hint="eastAsia"/>
                <w:color w:val="000000"/>
                <w:sz w:val="21"/>
                <w:szCs w:val="21"/>
              </w:rPr>
            </w:pPr>
            <w:r>
              <w:rPr>
                <w:rFonts w:hint="eastAsia"/>
                <w:color w:val="000000"/>
                <w:sz w:val="21"/>
                <w:szCs w:val="21"/>
              </w:rPr>
              <w:t>供应商认为有必要的其他设备1</w:t>
            </w: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nil"/>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nil"/>
              <w:right w:val="single" w:color="auto" w:sz="4" w:space="0"/>
            </w:tcBorders>
            <w:shd w:val="clear" w:color="auto" w:fill="auto"/>
            <w:noWrap/>
            <w:vAlign w:val="bottom"/>
          </w:tcPr>
          <w:p>
            <w:pPr>
              <w:rPr>
                <w:rFonts w:hint="eastAsia" w:ascii="等线" w:hAnsi="等线" w:eastAsia="等线"/>
                <w:color w:val="000000"/>
                <w:sz w:val="22"/>
                <w:szCs w:val="22"/>
              </w:rPr>
            </w:pPr>
          </w:p>
        </w:tc>
        <w:tc>
          <w:tcPr>
            <w:tcW w:w="0" w:type="auto"/>
            <w:tcBorders>
              <w:top w:val="nil"/>
              <w:left w:val="nil"/>
              <w:bottom w:val="nil"/>
              <w:right w:val="single" w:color="auto" w:sz="4" w:space="0"/>
            </w:tcBorders>
            <w:shd w:val="clear" w:color="auto" w:fill="auto"/>
            <w:noWrap/>
            <w:vAlign w:val="bottom"/>
          </w:tcPr>
          <w:p>
            <w:pPr>
              <w:rPr>
                <w:rFonts w:hint="eastAsia" w:ascii="等线" w:hAnsi="等线" w:eastAsia="等线"/>
                <w:color w:val="000000"/>
                <w:sz w:val="22"/>
                <w:szCs w:val="22"/>
              </w:rPr>
            </w:pPr>
          </w:p>
        </w:tc>
      </w:tr>
      <w:tr>
        <w:tblPrEx>
          <w:tblCellMar>
            <w:top w:w="0" w:type="dxa"/>
            <w:left w:w="108" w:type="dxa"/>
            <w:bottom w:w="0" w:type="dxa"/>
            <w:right w:w="108" w:type="dxa"/>
          </w:tblCellMar>
        </w:tblPrEx>
        <w:trPr>
          <w:trHeight w:val="51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1"/>
                <w:szCs w:val="21"/>
              </w:rPr>
            </w:pPr>
            <w:r>
              <w:rPr>
                <w:rFonts w:hint="eastAsia"/>
                <w:color w:val="000000"/>
                <w:sz w:val="21"/>
                <w:szCs w:val="21"/>
              </w:rPr>
              <w:t>2</w:t>
            </w:r>
            <w:r>
              <w:rPr>
                <w:color w:val="000000"/>
                <w:sz w:val="21"/>
                <w:szCs w:val="21"/>
              </w:rPr>
              <w:t>3</w:t>
            </w:r>
          </w:p>
        </w:tc>
        <w:tc>
          <w:tcPr>
            <w:tcW w:w="0" w:type="auto"/>
            <w:tcBorders>
              <w:top w:val="nil"/>
              <w:left w:val="single" w:color="auto" w:sz="4" w:space="0"/>
              <w:bottom w:val="single" w:color="auto" w:sz="4" w:space="0"/>
              <w:right w:val="single" w:color="auto" w:sz="4" w:space="0"/>
            </w:tcBorders>
            <w:vAlign w:val="center"/>
          </w:tcPr>
          <w:p>
            <w:pPr>
              <w:rPr>
                <w:rFonts w:hint="eastAsia"/>
                <w:color w:val="000000"/>
                <w:sz w:val="21"/>
                <w:szCs w:val="21"/>
              </w:rPr>
            </w:pPr>
            <w:r>
              <w:rPr>
                <w:rFonts w:hint="eastAsia"/>
                <w:color w:val="000000"/>
                <w:sz w:val="21"/>
                <w:szCs w:val="21"/>
              </w:rPr>
              <w:t>供应商认为有必要的其他设备</w:t>
            </w:r>
            <w:r>
              <w:rPr>
                <w:color w:val="000000"/>
                <w:sz w:val="21"/>
                <w:szCs w:val="21"/>
              </w:rPr>
              <w:t>2</w:t>
            </w: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single" w:color="auto" w:sz="4" w:space="0"/>
              <w:right w:val="single" w:color="auto" w:sz="4" w:space="0"/>
            </w:tcBorders>
            <w:shd w:val="clear" w:color="auto" w:fill="auto"/>
            <w:vAlign w:val="center"/>
          </w:tcPr>
          <w:p>
            <w:pPr>
              <w:jc w:val="center"/>
              <w:rPr>
                <w:rFonts w:hint="eastAsia"/>
                <w:color w:val="000000"/>
                <w:sz w:val="21"/>
                <w:szCs w:val="21"/>
              </w:rPr>
            </w:pP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p>
        </w:tc>
        <w:tc>
          <w:tcPr>
            <w:tcW w:w="0" w:type="auto"/>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p>
        </w:tc>
      </w:tr>
    </w:tbl>
    <w:p>
      <w:pPr>
        <w:jc w:val="center"/>
      </w:pPr>
      <w:r>
        <w:rPr>
          <w:rFonts w:hint="eastAsia"/>
        </w:rPr>
        <w:t xml:space="preserve"> </w:t>
      </w:r>
      <w:r>
        <w:t xml:space="preserve">                </w:t>
      </w:r>
    </w:p>
    <w:p>
      <w:pPr>
        <w:jc w:val="center"/>
      </w:pPr>
    </w:p>
    <w:p>
      <w:pPr>
        <w:jc w:val="center"/>
        <w:rPr>
          <w:u w:val="single"/>
        </w:rPr>
      </w:pPr>
      <w:r>
        <w:rPr>
          <w:rFonts w:hint="eastAsia"/>
        </w:rPr>
        <w:t>小计：￥</w:t>
      </w:r>
      <w:r>
        <w:rPr>
          <w:rFonts w:hint="eastAsia"/>
          <w:u w:val="single"/>
        </w:rPr>
        <w:t xml:space="preserve"> </w:t>
      </w:r>
      <w:r>
        <w:rPr>
          <w:u w:val="single"/>
        </w:rPr>
        <w:t xml:space="preserve">                  </w:t>
      </w:r>
    </w:p>
    <w:p/>
    <w:p/>
    <w:p>
      <w:pPr>
        <w:rPr>
          <w:rFonts w:hint="eastAsia"/>
        </w:rPr>
      </w:pPr>
      <w:r>
        <w:rPr>
          <w:rFonts w:hint="eastAsia"/>
        </w:rPr>
        <w:t>二、</w:t>
      </w:r>
      <w:r>
        <w:t>资源整合服务</w:t>
      </w:r>
      <w:r>
        <w:rPr>
          <w:rFonts w:hint="eastAsia"/>
        </w:rPr>
        <w:t>报价</w:t>
      </w:r>
    </w:p>
    <w:tbl>
      <w:tblPr>
        <w:tblStyle w:val="44"/>
        <w:tblW w:w="8440" w:type="dxa"/>
        <w:tblInd w:w="-5" w:type="dxa"/>
        <w:tblLayout w:type="autofit"/>
        <w:tblCellMar>
          <w:top w:w="0" w:type="dxa"/>
          <w:left w:w="108" w:type="dxa"/>
          <w:bottom w:w="0" w:type="dxa"/>
          <w:right w:w="108" w:type="dxa"/>
        </w:tblCellMar>
      </w:tblPr>
      <w:tblGrid>
        <w:gridCol w:w="1080"/>
        <w:gridCol w:w="1080"/>
        <w:gridCol w:w="1080"/>
        <w:gridCol w:w="1080"/>
        <w:gridCol w:w="1080"/>
        <w:gridCol w:w="1520"/>
        <w:gridCol w:w="1520"/>
      </w:tblGrid>
      <w:tr>
        <w:tblPrEx>
          <w:tblCellMar>
            <w:top w:w="0" w:type="dxa"/>
            <w:left w:w="108" w:type="dxa"/>
            <w:bottom w:w="0" w:type="dxa"/>
            <w:right w:w="108" w:type="dxa"/>
          </w:tblCellMar>
        </w:tblPrEx>
        <w:trPr>
          <w:trHeight w:val="285"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color w:val="000000"/>
                <w:sz w:val="22"/>
                <w:szCs w:val="22"/>
              </w:rPr>
            </w:pPr>
            <w:r>
              <w:rPr>
                <w:rFonts w:hint="eastAsia"/>
                <w:color w:val="000000"/>
                <w:sz w:val="22"/>
                <w:szCs w:val="22"/>
              </w:rPr>
              <w:t>序号</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模块</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服务项目</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数量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单位</w:t>
            </w:r>
          </w:p>
        </w:tc>
        <w:tc>
          <w:tcPr>
            <w:tcW w:w="1520"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单价（￥）</w:t>
            </w:r>
          </w:p>
        </w:tc>
        <w:tc>
          <w:tcPr>
            <w:tcW w:w="1520"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b/>
                <w:bCs/>
                <w:color w:val="000000"/>
                <w:sz w:val="21"/>
                <w:szCs w:val="21"/>
              </w:rPr>
            </w:pPr>
            <w:r>
              <w:rPr>
                <w:rFonts w:hint="eastAsia"/>
                <w:b/>
                <w:bCs/>
                <w:color w:val="000000"/>
                <w:sz w:val="21"/>
                <w:szCs w:val="21"/>
              </w:rPr>
              <w:t>合计（￥）</w:t>
            </w:r>
          </w:p>
        </w:tc>
      </w:tr>
      <w:tr>
        <w:tblPrEx>
          <w:tblCellMar>
            <w:top w:w="0" w:type="dxa"/>
            <w:left w:w="108" w:type="dxa"/>
            <w:bottom w:w="0" w:type="dxa"/>
            <w:right w:w="108" w:type="dxa"/>
          </w:tblCellMar>
        </w:tblPrEx>
        <w:trPr>
          <w:trHeight w:val="96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1</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资源整合实施服务</w:t>
            </w: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机柜与供电资源整合设计与实施服务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2</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基础网络资源整合设计与实施服务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3</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负载均衡资源整合设计与实施服务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4</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安全设备资源整合设计与实施服务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5</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虚拟化资源整合设计与实施服务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96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6</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物理服务器资源整合设计与实施服务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7</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数据库资源整合设计与实施服务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8</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存储资源整合设计与实施服务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color w:val="000000"/>
                <w:sz w:val="22"/>
                <w:szCs w:val="22"/>
              </w:rPr>
            </w:pPr>
            <w:r>
              <w:rPr>
                <w:rFonts w:hint="eastAsia"/>
                <w:color w:val="000000"/>
                <w:sz w:val="22"/>
                <w:szCs w:val="22"/>
              </w:rPr>
              <w:t>9</w:t>
            </w:r>
          </w:p>
        </w:tc>
        <w:tc>
          <w:tcPr>
            <w:tcW w:w="1080" w:type="dxa"/>
            <w:vMerge w:val="continue"/>
            <w:tcBorders>
              <w:top w:val="nil"/>
              <w:left w:val="single" w:color="auto" w:sz="4" w:space="0"/>
              <w:bottom w:val="single" w:color="auto" w:sz="4" w:space="0"/>
              <w:right w:val="single" w:color="auto" w:sz="4" w:space="0"/>
            </w:tcBorders>
            <w:vAlign w:val="center"/>
          </w:tcPr>
          <w:p>
            <w:pPr>
              <w:rPr>
                <w:color w:val="000000"/>
                <w:sz w:val="20"/>
                <w:szCs w:val="20"/>
              </w:rPr>
            </w:pPr>
          </w:p>
        </w:tc>
        <w:tc>
          <w:tcPr>
            <w:tcW w:w="1080" w:type="dxa"/>
            <w:tcBorders>
              <w:top w:val="nil"/>
              <w:left w:val="nil"/>
              <w:bottom w:val="single" w:color="auto" w:sz="4" w:space="0"/>
              <w:right w:val="single" w:color="auto" w:sz="4" w:space="0"/>
            </w:tcBorders>
            <w:shd w:val="clear" w:color="auto" w:fill="auto"/>
            <w:vAlign w:val="center"/>
          </w:tcPr>
          <w:p>
            <w:pPr>
              <w:rPr>
                <w:rFonts w:hint="eastAsia"/>
                <w:color w:val="000000"/>
                <w:sz w:val="20"/>
                <w:szCs w:val="20"/>
              </w:rPr>
            </w:pPr>
            <w:r>
              <w:rPr>
                <w:rFonts w:hint="eastAsia"/>
                <w:color w:val="000000"/>
                <w:sz w:val="20"/>
                <w:szCs w:val="20"/>
              </w:rPr>
              <w:t>运维软件的平滑及资源整合服务</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tcPr>
          <w:p>
            <w:pPr>
              <w:jc w:val="center"/>
              <w:rPr>
                <w:rFonts w:hint="eastAsia"/>
                <w:color w:val="000000"/>
                <w:sz w:val="20"/>
                <w:szCs w:val="20"/>
              </w:rPr>
            </w:pPr>
            <w:r>
              <w:rPr>
                <w:rFonts w:hint="eastAsia"/>
                <w:color w:val="000000"/>
                <w:sz w:val="20"/>
                <w:szCs w:val="20"/>
              </w:rPr>
              <w:t>项</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c>
          <w:tcPr>
            <w:tcW w:w="1520" w:type="dxa"/>
            <w:tcBorders>
              <w:top w:val="nil"/>
              <w:left w:val="nil"/>
              <w:bottom w:val="single" w:color="auto" w:sz="4" w:space="0"/>
              <w:right w:val="single" w:color="auto" w:sz="4" w:space="0"/>
            </w:tcBorders>
            <w:shd w:val="clear" w:color="auto" w:fill="auto"/>
            <w:noWrap/>
            <w:vAlign w:val="bottom"/>
          </w:tcPr>
          <w:p>
            <w:pPr>
              <w:rPr>
                <w:rFonts w:hint="eastAsia" w:ascii="等线" w:hAnsi="等线" w:eastAsia="等线"/>
                <w:color w:val="000000"/>
                <w:sz w:val="22"/>
                <w:szCs w:val="22"/>
              </w:rPr>
            </w:pPr>
            <w:r>
              <w:rPr>
                <w:rFonts w:hint="eastAsia" w:ascii="等线" w:hAnsi="等线" w:eastAsia="等线"/>
                <w:color w:val="000000"/>
                <w:sz w:val="22"/>
                <w:szCs w:val="22"/>
              </w:rPr>
              <w:t>　</w:t>
            </w:r>
          </w:p>
        </w:tc>
      </w:tr>
    </w:tbl>
    <w:p>
      <w:pPr>
        <w:jc w:val="center"/>
      </w:pPr>
    </w:p>
    <w:p>
      <w:pPr>
        <w:jc w:val="center"/>
      </w:pPr>
    </w:p>
    <w:p>
      <w:pPr>
        <w:jc w:val="center"/>
        <w:rPr>
          <w:u w:val="single"/>
        </w:rPr>
      </w:pPr>
      <w:r>
        <w:rPr>
          <w:rFonts w:hint="eastAsia"/>
        </w:rPr>
        <w:t>小计：￥</w:t>
      </w:r>
      <w:r>
        <w:rPr>
          <w:rFonts w:hint="eastAsia"/>
          <w:u w:val="single"/>
        </w:rPr>
        <w:t xml:space="preserve"> </w:t>
      </w:r>
      <w:r>
        <w:rPr>
          <w:u w:val="single"/>
        </w:rPr>
        <w:t xml:space="preserve">                  </w:t>
      </w:r>
    </w:p>
    <w:p>
      <w:pPr>
        <w:jc w:val="center"/>
        <w:rPr>
          <w:u w:val="single"/>
        </w:rPr>
      </w:pPr>
    </w:p>
    <w:p>
      <w:pPr>
        <w:jc w:val="center"/>
        <w:rPr>
          <w:u w:val="single"/>
        </w:rPr>
      </w:pPr>
    </w:p>
    <w:p>
      <w:pPr>
        <w:jc w:val="center"/>
      </w:pPr>
    </w:p>
    <w:p>
      <w:pPr>
        <w:jc w:val="center"/>
      </w:pPr>
    </w:p>
    <w:p>
      <w:pPr>
        <w:jc w:val="center"/>
      </w:pPr>
      <w:r>
        <w:rPr>
          <w:rFonts w:hint="eastAsia"/>
          <w:bCs/>
          <w:szCs w:val="21"/>
        </w:rPr>
        <w:t>项目总价：</w:t>
      </w:r>
      <w:r>
        <w:rPr>
          <w:rFonts w:hint="eastAsia"/>
        </w:rPr>
        <w:t>￥</w:t>
      </w:r>
      <w:r>
        <w:rPr>
          <w:rFonts w:hint="eastAsia"/>
          <w:u w:val="single"/>
        </w:rPr>
        <w:t xml:space="preserve"> </w:t>
      </w:r>
      <w:r>
        <w:rPr>
          <w:u w:val="single"/>
        </w:rPr>
        <w:t xml:space="preserve">                  </w:t>
      </w:r>
    </w:p>
    <w:p>
      <w:pPr>
        <w:jc w:val="center"/>
      </w:pPr>
    </w:p>
    <w:p>
      <w:pPr>
        <w:jc w:val="center"/>
      </w:pPr>
    </w:p>
    <w:p>
      <w:pPr>
        <w:jc w:val="center"/>
      </w:pPr>
    </w:p>
    <w:p>
      <w:r>
        <w:rPr>
          <w:rFonts w:hint="eastAsia"/>
        </w:rPr>
        <w:t>※参数必须满足“需求书”指标要求，否则视为无效报价</w: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tabs>
          <w:tab w:val="left" w:pos="3780"/>
        </w:tabs>
        <w:spacing w:line="360" w:lineRule="auto"/>
        <w:rPr>
          <w:rFonts w:hint="eastAsia" w:cs="Arial"/>
          <w:szCs w:val="21"/>
        </w:rPr>
      </w:pPr>
    </w:p>
    <w:p>
      <w:pPr>
        <w:tabs>
          <w:tab w:val="left" w:pos="3780"/>
        </w:tabs>
        <w:spacing w:line="360" w:lineRule="auto"/>
        <w:ind w:left="5179" w:leftChars="2158"/>
        <w:rPr>
          <w:rFonts w:cs="Arial"/>
          <w:szCs w:val="21"/>
        </w:rPr>
      </w:pPr>
    </w:p>
    <w:p>
      <w:pPr>
        <w:tabs>
          <w:tab w:val="left" w:pos="3780"/>
        </w:tabs>
        <w:spacing w:line="360" w:lineRule="auto"/>
        <w:ind w:left="5179" w:leftChars="2158"/>
        <w:rPr>
          <w:rFonts w:cs="Arial"/>
          <w:szCs w:val="21"/>
        </w:rPr>
      </w:pPr>
    </w:p>
    <w:p>
      <w:pPr>
        <w:tabs>
          <w:tab w:val="left" w:pos="3780"/>
        </w:tabs>
        <w:spacing w:line="360" w:lineRule="auto"/>
        <w:rPr>
          <w:rFonts w:cs="Arial"/>
          <w:szCs w:val="21"/>
        </w:rPr>
      </w:pPr>
    </w:p>
    <w:p>
      <w:pPr>
        <w:tabs>
          <w:tab w:val="left" w:pos="3780"/>
        </w:tabs>
        <w:spacing w:line="360" w:lineRule="auto"/>
        <w:rPr>
          <w:rFonts w:hint="eastAsia" w:cs="Arial"/>
          <w:szCs w:val="21"/>
        </w:rPr>
      </w:pPr>
    </w:p>
    <w:p>
      <w:pPr>
        <w:tabs>
          <w:tab w:val="left" w:pos="3780"/>
        </w:tabs>
        <w:spacing w:line="360" w:lineRule="auto"/>
        <w:ind w:left="5179" w:leftChars="2158"/>
        <w:rPr>
          <w:rFonts w:cs="Arial"/>
          <w:szCs w:val="21"/>
        </w:rPr>
      </w:pPr>
    </w:p>
    <w:p>
      <w:pPr>
        <w:tabs>
          <w:tab w:val="left" w:pos="3780"/>
        </w:tabs>
        <w:spacing w:line="360" w:lineRule="auto"/>
        <w:ind w:left="5179" w:leftChars="2158"/>
        <w:rPr>
          <w:rFonts w:cs="Arial"/>
          <w:szCs w:val="21"/>
        </w:rPr>
      </w:pPr>
    </w:p>
    <w:p>
      <w:pPr>
        <w:tabs>
          <w:tab w:val="left" w:pos="3780"/>
        </w:tabs>
        <w:spacing w:line="360" w:lineRule="auto"/>
        <w:ind w:left="5179" w:leftChars="2158"/>
        <w:rPr>
          <w:rFonts w:hint="eastAsia" w:cs="Arial"/>
          <w:szCs w:val="21"/>
        </w:rPr>
      </w:pPr>
    </w:p>
    <w:p>
      <w:pPr>
        <w:tabs>
          <w:tab w:val="left" w:pos="3780"/>
        </w:tabs>
        <w:spacing w:line="360" w:lineRule="auto"/>
        <w:ind w:left="5179" w:leftChars="2158"/>
        <w:rPr>
          <w:rFonts w:cs="Arial"/>
          <w:szCs w:val="21"/>
        </w:rPr>
      </w:pPr>
      <w:r>
        <w:rPr>
          <w:rFonts w:hint="eastAsia" w:cs="Arial"/>
          <w:szCs w:val="21"/>
        </w:rPr>
        <w:t>供应商（公章）：</w:t>
      </w:r>
    </w:p>
    <w:p>
      <w:pPr>
        <w:spacing w:line="360" w:lineRule="auto"/>
        <w:ind w:right="480" w:firstLine="6000" w:firstLineChars="2500"/>
        <w:rPr>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r>
        <w:rPr>
          <w:rFonts w:hint="eastAsia"/>
          <w:szCs w:val="21"/>
        </w:rPr>
        <w:t>+</w:t>
      </w:r>
    </w:p>
    <w:p>
      <w:pPr>
        <w:spacing w:line="360" w:lineRule="auto"/>
        <w:ind w:right="480" w:firstLine="5280" w:firstLineChars="2200"/>
        <w:rPr>
          <w:szCs w:val="21"/>
        </w:rPr>
      </w:pPr>
    </w:p>
    <w:p>
      <w:pPr>
        <w:pStyle w:val="2"/>
        <w:keepNext w:val="0"/>
        <w:keepLines w:val="0"/>
        <w:numPr>
          <w:ilvl w:val="0"/>
          <w:numId w:val="0"/>
        </w:numPr>
        <w:spacing w:before="0" w:after="0"/>
        <w:ind w:left="432"/>
        <w:rPr>
          <w:rFonts w:cs="宋体"/>
          <w:kern w:val="2"/>
          <w:sz w:val="21"/>
          <w:szCs w:val="21"/>
        </w:rPr>
      </w:pPr>
    </w:p>
    <w:p>
      <w:pPr>
        <w:pStyle w:val="2"/>
        <w:keepNext w:val="0"/>
        <w:keepLines w:val="0"/>
        <w:numPr>
          <w:ilvl w:val="0"/>
          <w:numId w:val="0"/>
        </w:numPr>
        <w:spacing w:before="0" w:after="0"/>
        <w:ind w:left="432"/>
        <w:jc w:val="center"/>
        <w:rPr>
          <w:rFonts w:cs="宋体"/>
          <w:b w:val="0"/>
          <w:kern w:val="2"/>
          <w:sz w:val="21"/>
          <w:szCs w:val="21"/>
        </w:rPr>
      </w:pPr>
      <w:r>
        <w:rPr>
          <w:rFonts w:hint="eastAsia" w:cs="宋体"/>
          <w:kern w:val="2"/>
          <w:sz w:val="21"/>
          <w:szCs w:val="21"/>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ascii="宋体" w:hAnsi="宋体" w:cs="宋体"/>
        </w:rPr>
      </w:pPr>
    </w:p>
    <w:p>
      <w:pPr>
        <w:pStyle w:val="521"/>
        <w:widowControl w:val="0"/>
        <w:spacing w:line="360" w:lineRule="auto"/>
        <w:rPr>
          <w:rFonts w:hint="eastAsia" w:ascii="宋体" w:hAnsi="宋体" w:cs="宋体"/>
        </w:rPr>
      </w:pPr>
    </w:p>
    <w:p>
      <w:pPr>
        <w:spacing w:line="360" w:lineRule="auto"/>
        <w:jc w:val="center"/>
        <w:rPr>
          <w:b/>
        </w:rPr>
      </w:pPr>
    </w:p>
    <w:p>
      <w:pPr>
        <w:spacing w:line="360" w:lineRule="auto"/>
        <w:jc w:val="center"/>
        <w:rPr>
          <w:b/>
        </w:rPr>
      </w:pPr>
      <w:r>
        <w:rPr>
          <w:rFonts w:hint="eastAsia"/>
          <w:b/>
        </w:rPr>
        <w:t>附件</w:t>
      </w:r>
      <w:r>
        <w:rPr>
          <w:b/>
        </w:rPr>
        <w:t>5</w:t>
      </w:r>
      <w:r>
        <w:rPr>
          <w:rFonts w:hint="eastAsia"/>
          <w:b/>
        </w:rPr>
        <w:t>现场调研需提交的其他资料</w:t>
      </w:r>
    </w:p>
    <w:p>
      <w:pPr>
        <w:spacing w:line="360" w:lineRule="auto"/>
        <w:jc w:val="center"/>
        <w:rPr>
          <w:b/>
        </w:rPr>
      </w:pPr>
    </w:p>
    <w:p>
      <w:pPr>
        <w:spacing w:line="360" w:lineRule="auto"/>
        <w:ind w:left="720" w:hanging="720" w:hangingChars="300"/>
        <w:rPr>
          <w:color w:val="FF0000"/>
        </w:rPr>
      </w:pPr>
      <w:r>
        <w:rPr>
          <w:color w:val="FF0000"/>
        </w:rPr>
        <w:t>1</w:t>
      </w:r>
      <w:r>
        <w:rPr>
          <w:rFonts w:hint="eastAsia"/>
          <w:color w:val="FF0000"/>
        </w:rPr>
        <w:t>、营业执照</w:t>
      </w:r>
    </w:p>
    <w:p>
      <w:pPr>
        <w:spacing w:line="360" w:lineRule="auto"/>
        <w:ind w:left="720" w:hanging="720" w:hangingChars="300"/>
        <w:rPr>
          <w:bCs/>
          <w:color w:val="FF0000"/>
          <w:szCs w:val="21"/>
        </w:rPr>
      </w:pPr>
    </w:p>
    <w:p>
      <w:pPr>
        <w:spacing w:line="360" w:lineRule="auto"/>
        <w:ind w:left="720" w:hanging="720" w:hangingChars="300"/>
        <w:rPr>
          <w:bCs/>
          <w:color w:val="FF0000"/>
          <w:szCs w:val="21"/>
        </w:rPr>
      </w:pPr>
      <w:r>
        <w:rPr>
          <w:bCs/>
          <w:color w:val="FF0000"/>
          <w:szCs w:val="21"/>
        </w:rPr>
        <w:t>2</w:t>
      </w:r>
      <w:r>
        <w:rPr>
          <w:rFonts w:hint="eastAsia"/>
          <w:bCs/>
          <w:color w:val="FF0000"/>
          <w:szCs w:val="21"/>
        </w:rPr>
        <w:t xml:space="preserve">、企业规模声明函    </w:t>
      </w:r>
    </w:p>
    <w:p>
      <w:pPr>
        <w:spacing w:line="360" w:lineRule="auto"/>
        <w:ind w:left="720" w:hanging="720" w:hangingChars="300"/>
        <w:rPr>
          <w:bCs/>
          <w:color w:val="FF0000"/>
          <w:szCs w:val="21"/>
        </w:rPr>
      </w:pPr>
    </w:p>
    <w:p>
      <w:pPr>
        <w:spacing w:line="360" w:lineRule="auto"/>
        <w:ind w:left="720" w:hanging="720" w:hangingChars="300"/>
        <w:rPr>
          <w:bCs/>
          <w:color w:val="FF0000"/>
          <w:szCs w:val="21"/>
        </w:rPr>
      </w:pPr>
      <w:r>
        <w:rPr>
          <w:bCs/>
          <w:color w:val="FF0000"/>
          <w:szCs w:val="21"/>
        </w:rPr>
        <w:t>3</w:t>
      </w:r>
      <w:r>
        <w:rPr>
          <w:rFonts w:hint="eastAsia"/>
          <w:bCs/>
          <w:color w:val="FF0000"/>
          <w:szCs w:val="21"/>
        </w:rPr>
        <w:t>、提供报价依据，可为同类项目合同扫描件</w:t>
      </w:r>
    </w:p>
    <w:p>
      <w:pPr>
        <w:spacing w:line="360" w:lineRule="auto"/>
        <w:ind w:left="720" w:hanging="720" w:hangingChars="300"/>
        <w:rPr>
          <w:bCs/>
          <w:color w:val="FF0000"/>
          <w:szCs w:val="21"/>
        </w:rPr>
      </w:pPr>
    </w:p>
    <w:p>
      <w:pPr>
        <w:spacing w:line="360" w:lineRule="auto"/>
        <w:ind w:left="720" w:hanging="720" w:hangingChars="300"/>
        <w:rPr>
          <w:bCs/>
          <w:color w:val="FF0000"/>
          <w:szCs w:val="21"/>
        </w:rPr>
      </w:pPr>
      <w:r>
        <w:rPr>
          <w:rFonts w:hint="eastAsia"/>
          <w:bCs/>
          <w:color w:val="FF0000"/>
          <w:szCs w:val="21"/>
        </w:rPr>
        <w:t>4、现场提交的本文件内容需盖单位公章或业务章。</w:t>
      </w:r>
    </w:p>
    <w:p>
      <w:pPr>
        <w:spacing w:line="360" w:lineRule="auto"/>
        <w:ind w:left="720" w:hanging="720" w:hangingChars="300"/>
        <w:rPr>
          <w:bCs/>
          <w:color w:val="FF0000"/>
          <w:szCs w:val="21"/>
        </w:rPr>
      </w:pPr>
    </w:p>
    <w:p>
      <w:pPr>
        <w:spacing w:line="360" w:lineRule="auto"/>
        <w:ind w:left="720" w:hanging="720" w:hangingChars="300"/>
        <w:rPr>
          <w:rFonts w:cs="Arial"/>
          <w:b/>
          <w:szCs w:val="21"/>
        </w:rPr>
      </w:pPr>
      <w:r>
        <w:rPr>
          <w:bCs/>
          <w:color w:val="FF0000"/>
          <w:szCs w:val="21"/>
        </w:rPr>
        <w:t>5</w:t>
      </w:r>
      <w:r>
        <w:rPr>
          <w:rFonts w:hint="eastAsia"/>
          <w:bCs/>
          <w:color w:val="FF0000"/>
          <w:szCs w:val="21"/>
        </w:rPr>
        <w:t>、要求提供整体实施方案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57FE"/>
    <w:rsid w:val="0004433F"/>
    <w:rsid w:val="000566F4"/>
    <w:rsid w:val="000E42BF"/>
    <w:rsid w:val="00111339"/>
    <w:rsid w:val="001B745E"/>
    <w:rsid w:val="001D6901"/>
    <w:rsid w:val="001F4E6A"/>
    <w:rsid w:val="001F6215"/>
    <w:rsid w:val="0021549B"/>
    <w:rsid w:val="00222D5F"/>
    <w:rsid w:val="002278AD"/>
    <w:rsid w:val="00256B9C"/>
    <w:rsid w:val="00270428"/>
    <w:rsid w:val="00273087"/>
    <w:rsid w:val="002870C9"/>
    <w:rsid w:val="00320E78"/>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B1F02"/>
    <w:rsid w:val="004C7B5D"/>
    <w:rsid w:val="005174B2"/>
    <w:rsid w:val="00520B31"/>
    <w:rsid w:val="00522804"/>
    <w:rsid w:val="00544857"/>
    <w:rsid w:val="005545B9"/>
    <w:rsid w:val="005552F7"/>
    <w:rsid w:val="00576FE6"/>
    <w:rsid w:val="0058134C"/>
    <w:rsid w:val="005C520E"/>
    <w:rsid w:val="005F2F70"/>
    <w:rsid w:val="00612C9B"/>
    <w:rsid w:val="006768F3"/>
    <w:rsid w:val="00696DB9"/>
    <w:rsid w:val="00697BEA"/>
    <w:rsid w:val="006B5038"/>
    <w:rsid w:val="00704D9A"/>
    <w:rsid w:val="00714261"/>
    <w:rsid w:val="007B04C1"/>
    <w:rsid w:val="007D0E91"/>
    <w:rsid w:val="007D4781"/>
    <w:rsid w:val="007F4CDF"/>
    <w:rsid w:val="007F62E3"/>
    <w:rsid w:val="00800F92"/>
    <w:rsid w:val="008037B3"/>
    <w:rsid w:val="00817397"/>
    <w:rsid w:val="00827130"/>
    <w:rsid w:val="008506D4"/>
    <w:rsid w:val="00866C70"/>
    <w:rsid w:val="008841B5"/>
    <w:rsid w:val="008A423E"/>
    <w:rsid w:val="008D700E"/>
    <w:rsid w:val="008F75A0"/>
    <w:rsid w:val="00907F63"/>
    <w:rsid w:val="00935215"/>
    <w:rsid w:val="009447EE"/>
    <w:rsid w:val="00982FCE"/>
    <w:rsid w:val="009908FF"/>
    <w:rsid w:val="009A3634"/>
    <w:rsid w:val="009F56C2"/>
    <w:rsid w:val="00A36EB4"/>
    <w:rsid w:val="00A426DB"/>
    <w:rsid w:val="00A54DEF"/>
    <w:rsid w:val="00A56863"/>
    <w:rsid w:val="00A80BE1"/>
    <w:rsid w:val="00AD48FA"/>
    <w:rsid w:val="00B42F20"/>
    <w:rsid w:val="00B4399F"/>
    <w:rsid w:val="00B7113B"/>
    <w:rsid w:val="00B93FDF"/>
    <w:rsid w:val="00BB0A90"/>
    <w:rsid w:val="00BC1846"/>
    <w:rsid w:val="00BC6E03"/>
    <w:rsid w:val="00BD1705"/>
    <w:rsid w:val="00BD1ED9"/>
    <w:rsid w:val="00C1205F"/>
    <w:rsid w:val="00C405E0"/>
    <w:rsid w:val="00C53114"/>
    <w:rsid w:val="00CA5C62"/>
    <w:rsid w:val="00CF2B02"/>
    <w:rsid w:val="00D03030"/>
    <w:rsid w:val="00D6362C"/>
    <w:rsid w:val="00D83193"/>
    <w:rsid w:val="00DB4069"/>
    <w:rsid w:val="00DD73A9"/>
    <w:rsid w:val="00DE24A4"/>
    <w:rsid w:val="00E514CC"/>
    <w:rsid w:val="00E526F7"/>
    <w:rsid w:val="00E5399F"/>
    <w:rsid w:val="00E54041"/>
    <w:rsid w:val="00E662AB"/>
    <w:rsid w:val="00E972E7"/>
    <w:rsid w:val="00EA6DEC"/>
    <w:rsid w:val="00EC2334"/>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7BB126"/>
    <w:rsid w:val="6DB85E1E"/>
    <w:rsid w:val="6E317B88"/>
    <w:rsid w:val="6FCC5BB0"/>
    <w:rsid w:val="6FE1A74F"/>
    <w:rsid w:val="77EB3293"/>
    <w:rsid w:val="7DC26844"/>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0"/>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qFormat/>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qFormat/>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6C5B9E2-F201-489E-921F-5C57712C9CAC}">
  <ds:schemaRefs/>
</ds:datastoreItem>
</file>

<file path=docProps/app.xml><?xml version="1.0" encoding="utf-8"?>
<Properties xmlns="http://schemas.openxmlformats.org/officeDocument/2006/extended-properties" xmlns:vt="http://schemas.openxmlformats.org/officeDocument/2006/docPropsVTypes">
  <Company>china</Company>
  <Pages>7</Pages>
  <Words>355</Words>
  <Characters>2027</Characters>
  <Lines>16</Lines>
  <Paragraphs>4</Paragraphs>
  <TotalTime>118</TotalTime>
  <ScaleCrop>false</ScaleCrop>
  <LinksUpToDate>false</LinksUpToDate>
  <CharactersWithSpaces>2378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Administrator</cp:lastModifiedBy>
  <dcterms:modified xsi:type="dcterms:W3CDTF">2025-06-12T10:27:47Z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