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B2BBC">
      <w:pPr>
        <w:pStyle w:val="2"/>
        <w:spacing w:line="240" w:lineRule="auto"/>
        <w:rPr>
          <w:rFonts w:asciiTheme="minorEastAsia" w:hAnsiTheme="minorEastAsia" w:eastAsiaTheme="minorEastAsia"/>
          <w:sz w:val="44"/>
          <w:szCs w:val="44"/>
        </w:rPr>
      </w:pPr>
      <w:r>
        <w:rPr>
          <w:rFonts w:hint="eastAsia" w:asciiTheme="minorEastAsia" w:hAnsiTheme="minorEastAsia" w:eastAsiaTheme="minorEastAsia"/>
          <w:sz w:val="44"/>
          <w:szCs w:val="44"/>
        </w:rPr>
        <w:t>采购需求</w:t>
      </w:r>
    </w:p>
    <w:p w14:paraId="6792D7CC">
      <w:pPr>
        <w:pStyle w:val="3"/>
        <w:numPr>
          <w:ilvl w:val="0"/>
          <w:numId w:val="1"/>
        </w:numPr>
        <w:spacing w:before="0" w:after="0" w:line="240" w:lineRule="auto"/>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项目概况</w:t>
      </w:r>
    </w:p>
    <w:p w14:paraId="20B8841F">
      <w:pPr>
        <w:numPr>
          <w:ilvl w:val="0"/>
          <w:numId w:val="2"/>
        </w:numPr>
        <w:rPr>
          <w:rFonts w:hint="eastAsia" w:asciiTheme="minorEastAsia" w:hAnsiTheme="minorEastAsia"/>
          <w:sz w:val="21"/>
          <w:szCs w:val="21"/>
          <w:lang w:eastAsia="zh-CN"/>
        </w:rPr>
      </w:pPr>
      <w:r>
        <w:rPr>
          <w:rFonts w:hint="eastAsia" w:asciiTheme="minorEastAsia" w:hAnsiTheme="minorEastAsia"/>
          <w:sz w:val="21"/>
          <w:szCs w:val="21"/>
          <w:lang w:eastAsia="zh-CN"/>
        </w:rPr>
        <w:t>项目名称：广州医科大学附属番禺中心医院医疗集团消防维保服务、消防检测及安全评估服务采购项目</w:t>
      </w:r>
    </w:p>
    <w:p w14:paraId="372F7C69">
      <w:pPr>
        <w:pStyle w:val="36"/>
        <w:numPr>
          <w:ilvl w:val="-1"/>
          <w:numId w:val="0"/>
        </w:numPr>
        <w:spacing w:before="240" w:line="240" w:lineRule="auto"/>
        <w:ind w:left="0" w:firstLine="0"/>
        <w:rPr>
          <w:b/>
          <w:bCs/>
          <w:sz w:val="21"/>
          <w:szCs w:val="21"/>
        </w:rPr>
      </w:pPr>
      <w:r>
        <w:rPr>
          <w:rFonts w:hint="eastAsia"/>
          <w:b/>
          <w:bCs/>
          <w:sz w:val="21"/>
          <w:szCs w:val="21"/>
          <w:lang w:eastAsia="zh-CN"/>
        </w:rPr>
        <w:t>（二）</w:t>
      </w:r>
      <w:r>
        <w:rPr>
          <w:rFonts w:hint="eastAsia"/>
          <w:b/>
          <w:bCs/>
          <w:sz w:val="21"/>
          <w:szCs w:val="21"/>
        </w:rPr>
        <w:t>项目概况说明</w:t>
      </w:r>
    </w:p>
    <w:p w14:paraId="4FBD284B">
      <w:pPr>
        <w:ind w:firstLine="420" w:firstLineChars="200"/>
      </w:pPr>
      <w:r>
        <w:rPr>
          <w:rFonts w:hint="eastAsia"/>
          <w:lang w:eastAsia="zh-CN"/>
        </w:rPr>
        <w:t>广州医科大学附属番禺中心医院</w:t>
      </w:r>
      <w:r>
        <w:rPr>
          <w:rFonts w:hint="eastAsia"/>
        </w:rPr>
        <w:t>是按照国家“三级甲等”医院标准配置的综合性医院，占地220亩，总建筑面积23.5万平方米。医院建筑楼群有门诊楼、医技楼、住院楼1号楼、住院楼2号楼、住院楼3号楼和5号楼（感染疾病区），6号楼（高压</w:t>
      </w:r>
      <w:r>
        <w:rPr>
          <w:rFonts w:hint="eastAsia"/>
          <w:highlight w:val="none"/>
        </w:rPr>
        <w:t>氧楼）、放疗</w:t>
      </w:r>
      <w:r>
        <w:rPr>
          <w:rFonts w:hint="default"/>
          <w:highlight w:val="none"/>
        </w:rPr>
        <w:t>楼</w:t>
      </w:r>
      <w:r>
        <w:rPr>
          <w:rFonts w:hint="eastAsia"/>
          <w:highlight w:val="none"/>
        </w:rPr>
        <w:t>、8号楼</w:t>
      </w:r>
      <w:r>
        <w:rPr>
          <w:rFonts w:hint="eastAsia"/>
        </w:rPr>
        <w:t>（宿舍大楼）等建筑功能，其自身已建设了较为完善的建筑消防系统，包括自动报警系统，自动喷淋系统，消防栓系统、气体灭火系统、防火卷帘门、广播及疏散照明系统、防火门等，消防设施完善。</w:t>
      </w:r>
    </w:p>
    <w:p w14:paraId="0684D8D2">
      <w:pPr>
        <w:ind w:firstLine="420" w:firstLineChars="200"/>
      </w:pPr>
      <w:r>
        <w:rPr>
          <w:rFonts w:hint="eastAsia"/>
        </w:rPr>
        <w:t>医院延伸服务机构（分院、分门诊）：区府门诊、药物维持点、广州市番禺区第七人民医院</w:t>
      </w:r>
    </w:p>
    <w:p w14:paraId="3256FA95">
      <w:pPr>
        <w:ind w:firstLine="422" w:firstLineChars="200"/>
        <w:rPr>
          <w:b/>
          <w:bCs/>
        </w:rPr>
      </w:pPr>
      <w:r>
        <w:rPr>
          <w:rFonts w:hint="eastAsia"/>
          <w:b/>
          <w:bCs/>
        </w:rPr>
        <w:t>采购包1：</w:t>
      </w:r>
    </w:p>
    <w:p w14:paraId="19BF4BA3">
      <w:pPr>
        <w:ind w:firstLine="420" w:firstLineChars="200"/>
      </w:pPr>
      <w:r>
        <w:rPr>
          <w:rFonts w:hint="eastAsia"/>
        </w:rPr>
        <w:t>1、采购项目服务范围：①</w:t>
      </w:r>
      <w:r>
        <w:rPr>
          <w:rFonts w:hint="eastAsia"/>
          <w:lang w:eastAsia="zh-CN"/>
        </w:rPr>
        <w:t>广州医科大学附属番禺中心医院</w:t>
      </w:r>
      <w:r>
        <w:rPr>
          <w:rFonts w:hint="eastAsia"/>
        </w:rPr>
        <w:t>（含分门诊：区府门诊、药物维持点等）</w:t>
      </w:r>
      <w:r>
        <w:rPr>
          <w:rFonts w:hint="eastAsia"/>
          <w:lang w:eastAsia="zh-CN"/>
        </w:rPr>
        <w:t>的</w:t>
      </w:r>
      <w:r>
        <w:rPr>
          <w:rFonts w:hint="eastAsia"/>
        </w:rPr>
        <w:t>全部消防系统及设备维护、保养</w:t>
      </w:r>
      <w:r>
        <w:rPr>
          <w:rFonts w:hint="eastAsia"/>
          <w:lang w:eastAsia="zh-CN"/>
        </w:rPr>
        <w:t>；</w:t>
      </w:r>
      <w:r>
        <w:rPr>
          <w:rFonts w:hint="eastAsia"/>
        </w:rPr>
        <w:t>②广州市番禺区第七人民医院的全部消防系统及设备维护、保养。</w:t>
      </w:r>
    </w:p>
    <w:p w14:paraId="1C793989">
      <w:pPr>
        <w:ind w:firstLine="420" w:firstLineChars="200"/>
      </w:pPr>
      <w:r>
        <w:rPr>
          <w:rFonts w:hint="eastAsia"/>
        </w:rPr>
        <w:t>★2、合同期限两年，根据成交供应商履约情况按采购人制定的月度和年度考评细则进行考评。</w:t>
      </w:r>
    </w:p>
    <w:p w14:paraId="48F97B95">
      <w:pPr>
        <w:ind w:firstLine="420" w:firstLineChars="200"/>
      </w:pPr>
      <w:r>
        <w:rPr>
          <w:rFonts w:hint="eastAsia"/>
        </w:rPr>
        <w:t>★3、按照服务质量要求与国家标准、行业规范要求完成消防系统及设备设施日常维护保养，每月度提交月度维保服务资料，年度提交项目年度维保服务报告。</w:t>
      </w:r>
    </w:p>
    <w:p w14:paraId="668BF2E7">
      <w:pPr>
        <w:ind w:firstLine="420" w:firstLineChars="200"/>
      </w:pPr>
      <w:r>
        <w:rPr>
          <w:rFonts w:hint="eastAsia"/>
        </w:rPr>
        <w:t>4、</w:t>
      </w:r>
      <w:r>
        <w:rPr>
          <w:rFonts w:hint="eastAsia"/>
          <w:highlight w:val="none"/>
        </w:rPr>
        <w:t>因广</w:t>
      </w:r>
      <w:r>
        <w:rPr>
          <w:rFonts w:hint="eastAsia"/>
        </w:rPr>
        <w:t>州市番禺区第七人民医院为独立法人，为保证丙方会计核算、财务管理的规范性和完整性，成交供应商需与广州市番禺区第七人民医院签订合同，作为主合同的补充协议。</w:t>
      </w:r>
    </w:p>
    <w:p w14:paraId="747717F7">
      <w:pPr>
        <w:ind w:firstLine="422" w:firstLineChars="200"/>
        <w:rPr>
          <w:b/>
          <w:bCs/>
        </w:rPr>
      </w:pPr>
      <w:r>
        <w:rPr>
          <w:rFonts w:hint="eastAsia"/>
          <w:b/>
          <w:bCs/>
        </w:rPr>
        <w:t>采购包2：</w:t>
      </w:r>
    </w:p>
    <w:p w14:paraId="572A92B7">
      <w:pPr>
        <w:ind w:firstLine="420" w:firstLineChars="200"/>
      </w:pPr>
      <w:r>
        <w:rPr>
          <w:rFonts w:hint="eastAsia"/>
        </w:rPr>
        <w:t>1、采购项目服务范围：①</w:t>
      </w:r>
      <w:r>
        <w:rPr>
          <w:rFonts w:hint="eastAsia"/>
          <w:lang w:eastAsia="zh-CN"/>
        </w:rPr>
        <w:t>广州医科大学附属番禺中心医院</w:t>
      </w:r>
      <w:r>
        <w:rPr>
          <w:rFonts w:hint="eastAsia"/>
        </w:rPr>
        <w:t>（含分门诊：区府门诊、药物维持点等）的全部消防设备设施年度检测及安全评估</w:t>
      </w:r>
      <w:r>
        <w:rPr>
          <w:rFonts w:hint="eastAsia"/>
          <w:lang w:eastAsia="zh-CN"/>
        </w:rPr>
        <w:t>；</w:t>
      </w:r>
      <w:bookmarkStart w:id="2" w:name="_GoBack"/>
      <w:bookmarkEnd w:id="2"/>
      <w:r>
        <w:rPr>
          <w:rFonts w:hint="eastAsia"/>
        </w:rPr>
        <w:t>②广州市番禺区第七人民医院的全部消防设备设施年度检测及安全评估。</w:t>
      </w:r>
    </w:p>
    <w:p w14:paraId="31BD4E6A">
      <w:pPr>
        <w:ind w:firstLine="420" w:firstLineChars="200"/>
      </w:pPr>
      <w:r>
        <w:rPr>
          <w:rFonts w:hint="eastAsia"/>
        </w:rPr>
        <w:t>★2、按照服务质量要求与国家标准、行业规范要求每年完成一次消防设备设施年度检测及安全评估，并提交检测、评估报告。检测报告应根据“社会消防技术服务平台”相关要求，进行上传。</w:t>
      </w:r>
    </w:p>
    <w:p w14:paraId="762B29C3">
      <w:pPr>
        <w:ind w:firstLine="420" w:firstLineChars="200"/>
      </w:pPr>
      <w:r>
        <w:rPr>
          <w:rFonts w:hint="eastAsia"/>
        </w:rPr>
        <w:t>3、工期要求：中标公司必须安排充足人员，合理编制检测评估组织方案，在收到采购方入场通知后，一个月内完成消防检测和安全评估项目并出具检测、评估报告。</w:t>
      </w:r>
    </w:p>
    <w:p w14:paraId="493222B0">
      <w:pPr>
        <w:ind w:firstLine="420" w:firstLineChars="200"/>
      </w:pPr>
      <w:r>
        <w:rPr>
          <w:rFonts w:hint="eastAsia"/>
        </w:rPr>
        <w:t>★4、检测单位不得将本合同进行转包或分包。</w:t>
      </w:r>
    </w:p>
    <w:p w14:paraId="0B5A160D">
      <w:pPr>
        <w:ind w:firstLine="420" w:firstLineChars="200"/>
      </w:pPr>
      <w:r>
        <w:rPr>
          <w:rFonts w:hint="eastAsia"/>
        </w:rPr>
        <w:t>5、因广州市番禺区第七人民医院为独立法人，为保证丙方会计核算、财务管理的规范性和完整性，成交供应商需与广州市番禺区第七人民医院签订合同，作为主合同的补充协议。</w:t>
      </w:r>
    </w:p>
    <w:p w14:paraId="77BF8010">
      <w:pPr>
        <w:pStyle w:val="36"/>
        <w:numPr>
          <w:ilvl w:val="-1"/>
          <w:numId w:val="0"/>
        </w:numPr>
        <w:spacing w:before="240"/>
        <w:ind w:left="0" w:firstLine="0"/>
        <w:rPr>
          <w:rFonts w:asciiTheme="minorEastAsia" w:hAnsiTheme="minorEastAsia" w:eastAsiaTheme="minorEastAsia"/>
          <w:b/>
          <w:sz w:val="21"/>
          <w:szCs w:val="21"/>
        </w:rPr>
      </w:pPr>
      <w:r>
        <w:rPr>
          <w:rFonts w:hint="eastAsia" w:asciiTheme="minorEastAsia" w:hAnsiTheme="minorEastAsia" w:eastAsiaTheme="minorEastAsia"/>
          <w:b/>
          <w:sz w:val="21"/>
          <w:szCs w:val="21"/>
          <w:lang w:eastAsia="zh-CN"/>
        </w:rPr>
        <w:t>（三）</w:t>
      </w:r>
      <w:r>
        <w:rPr>
          <w:rFonts w:hint="eastAsia" w:asciiTheme="minorEastAsia" w:hAnsiTheme="minorEastAsia" w:eastAsiaTheme="minorEastAsia"/>
          <w:b/>
          <w:sz w:val="21"/>
          <w:szCs w:val="21"/>
        </w:rPr>
        <w:t>采购预算</w:t>
      </w:r>
    </w:p>
    <w:p w14:paraId="6EE2B2D4">
      <w:pPr>
        <w:rPr>
          <w:b/>
          <w:bCs/>
        </w:rPr>
      </w:pPr>
      <w:r>
        <w:rPr>
          <w:rFonts w:hint="eastAsia"/>
          <w:b/>
          <w:bCs/>
        </w:rPr>
        <w:t>采购包1：</w:t>
      </w:r>
    </w:p>
    <w:tbl>
      <w:tblPr>
        <w:tblStyle w:val="16"/>
        <w:tblW w:w="506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790"/>
        <w:gridCol w:w="1370"/>
        <w:gridCol w:w="1267"/>
        <w:gridCol w:w="3291"/>
        <w:gridCol w:w="1549"/>
      </w:tblGrid>
      <w:tr w14:paraId="6F5B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 w:type="pct"/>
            <w:tcBorders>
              <w:bottom w:val="single" w:color="auto" w:sz="4" w:space="0"/>
            </w:tcBorders>
            <w:vAlign w:val="center"/>
          </w:tcPr>
          <w:p w14:paraId="3B394FDE">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b/>
                <w:bCs/>
                <w:szCs w:val="21"/>
              </w:rPr>
            </w:pPr>
            <w:r>
              <w:rPr>
                <w:rFonts w:hint="eastAsia" w:ascii="宋体" w:hAnsi="宋体" w:eastAsia="宋体" w:cs="宋体"/>
                <w:b/>
                <w:bCs/>
                <w:szCs w:val="21"/>
              </w:rPr>
              <w:t>服务名称</w:t>
            </w:r>
          </w:p>
        </w:tc>
        <w:tc>
          <w:tcPr>
            <w:tcW w:w="422" w:type="pct"/>
            <w:tcBorders>
              <w:bottom w:val="single" w:color="auto" w:sz="4" w:space="0"/>
            </w:tcBorders>
            <w:vAlign w:val="center"/>
          </w:tcPr>
          <w:p w14:paraId="048F06B7">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b/>
                <w:bCs/>
                <w:szCs w:val="21"/>
              </w:rPr>
            </w:pPr>
            <w:r>
              <w:rPr>
                <w:rFonts w:hint="eastAsia" w:ascii="宋体" w:hAnsi="宋体" w:eastAsia="宋体" w:cs="宋体"/>
                <w:b/>
                <w:bCs/>
                <w:szCs w:val="21"/>
              </w:rPr>
              <w:t>服务期限</w:t>
            </w:r>
          </w:p>
        </w:tc>
        <w:tc>
          <w:tcPr>
            <w:tcW w:w="732" w:type="pct"/>
            <w:tcBorders>
              <w:bottom w:val="single" w:color="auto" w:sz="4" w:space="0"/>
            </w:tcBorders>
            <w:vAlign w:val="center"/>
          </w:tcPr>
          <w:p w14:paraId="49E4C6E8">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b/>
                <w:bCs/>
                <w:szCs w:val="21"/>
              </w:rPr>
            </w:pPr>
            <w:r>
              <w:rPr>
                <w:rFonts w:hint="eastAsia" w:ascii="宋体" w:hAnsi="宋体" w:eastAsia="宋体" w:cs="宋体"/>
                <w:b/>
                <w:bCs/>
                <w:szCs w:val="21"/>
              </w:rPr>
              <w:t>采购预算</w:t>
            </w:r>
          </w:p>
        </w:tc>
        <w:tc>
          <w:tcPr>
            <w:tcW w:w="3262" w:type="pct"/>
            <w:gridSpan w:val="3"/>
            <w:vAlign w:val="center"/>
          </w:tcPr>
          <w:p w14:paraId="60E8BBED">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b/>
                <w:bCs/>
                <w:szCs w:val="21"/>
              </w:rPr>
            </w:pPr>
            <w:r>
              <w:rPr>
                <w:rFonts w:hint="eastAsia" w:ascii="宋体" w:hAnsi="宋体" w:eastAsia="宋体" w:cs="宋体"/>
                <w:b/>
                <w:bCs/>
                <w:szCs w:val="21"/>
              </w:rPr>
              <w:t>预算构成（各项最高限价）</w:t>
            </w:r>
          </w:p>
        </w:tc>
      </w:tr>
      <w:tr w14:paraId="73FA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 w:type="pct"/>
            <w:vMerge w:val="restart"/>
            <w:tcBorders>
              <w:top w:val="single" w:color="auto" w:sz="4" w:space="0"/>
              <w:left w:val="single" w:color="auto" w:sz="4" w:space="0"/>
              <w:bottom w:val="single" w:color="auto" w:sz="4" w:space="0"/>
              <w:right w:val="single" w:color="auto" w:sz="4" w:space="0"/>
            </w:tcBorders>
            <w:vAlign w:val="center"/>
          </w:tcPr>
          <w:p w14:paraId="4F654E91">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r>
              <w:rPr>
                <w:rFonts w:hint="eastAsia" w:ascii="宋体" w:hAnsi="宋体" w:eastAsia="宋体" w:cs="宋体"/>
                <w:szCs w:val="21"/>
              </w:rPr>
              <w:t>消防维保服务</w:t>
            </w:r>
          </w:p>
        </w:tc>
        <w:tc>
          <w:tcPr>
            <w:tcW w:w="422" w:type="pct"/>
            <w:vMerge w:val="restart"/>
            <w:tcBorders>
              <w:top w:val="single" w:color="auto" w:sz="4" w:space="0"/>
              <w:left w:val="single" w:color="auto" w:sz="4" w:space="0"/>
              <w:bottom w:val="single" w:color="auto" w:sz="4" w:space="0"/>
              <w:right w:val="single" w:color="auto" w:sz="4" w:space="0"/>
            </w:tcBorders>
            <w:vAlign w:val="center"/>
          </w:tcPr>
          <w:p w14:paraId="2831783E">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r>
              <w:rPr>
                <w:rFonts w:hint="eastAsia" w:ascii="宋体" w:hAnsi="宋体" w:eastAsia="宋体" w:cs="宋体"/>
                <w:szCs w:val="21"/>
              </w:rPr>
              <w:t>2年</w:t>
            </w:r>
          </w:p>
        </w:tc>
        <w:tc>
          <w:tcPr>
            <w:tcW w:w="732" w:type="pct"/>
            <w:vMerge w:val="restart"/>
            <w:tcBorders>
              <w:top w:val="single" w:color="auto" w:sz="4" w:space="0"/>
              <w:left w:val="single" w:color="auto" w:sz="4" w:space="0"/>
              <w:bottom w:val="single" w:color="auto" w:sz="4" w:space="0"/>
              <w:right w:val="single" w:color="auto" w:sz="4" w:space="0"/>
            </w:tcBorders>
            <w:vAlign w:val="center"/>
          </w:tcPr>
          <w:p w14:paraId="09052720">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r>
              <w:rPr>
                <w:rFonts w:hint="eastAsia" w:ascii="宋体" w:hAnsi="宋体" w:eastAsia="宋体" w:cs="宋体"/>
                <w:szCs w:val="21"/>
                <w:lang w:val="en-US" w:eastAsia="zh-CN"/>
              </w:rPr>
              <w:t>1</w:t>
            </w:r>
            <w:r>
              <w:rPr>
                <w:rFonts w:hint="default" w:ascii="宋体" w:hAnsi="宋体" w:eastAsia="宋体" w:cs="宋体"/>
                <w:szCs w:val="21"/>
                <w:lang w:val="en-US" w:eastAsia="zh-CN"/>
              </w:rPr>
              <w:t>6</w:t>
            </w:r>
            <w:r>
              <w:rPr>
                <w:rFonts w:hint="eastAsia" w:ascii="宋体" w:hAnsi="宋体" w:eastAsia="宋体" w:cs="宋体"/>
                <w:szCs w:val="21"/>
                <w:lang w:val="en-US" w:eastAsia="zh-CN"/>
              </w:rPr>
              <w:t>7</w:t>
            </w:r>
            <w:r>
              <w:rPr>
                <w:rFonts w:hint="eastAsia" w:ascii="宋体" w:hAnsi="宋体" w:eastAsia="宋体" w:cs="宋体"/>
                <w:szCs w:val="21"/>
              </w:rPr>
              <w:t>万元</w:t>
            </w:r>
          </w:p>
        </w:tc>
        <w:tc>
          <w:tcPr>
            <w:tcW w:w="677" w:type="pct"/>
            <w:vMerge w:val="restart"/>
            <w:tcBorders>
              <w:top w:val="single" w:color="auto" w:sz="4" w:space="0"/>
              <w:left w:val="single" w:color="auto" w:sz="4" w:space="0"/>
              <w:bottom w:val="single" w:color="auto" w:sz="4" w:space="0"/>
              <w:right w:val="single" w:color="auto" w:sz="4" w:space="0"/>
            </w:tcBorders>
            <w:vAlign w:val="center"/>
          </w:tcPr>
          <w:p w14:paraId="0F7B16C9">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r>
              <w:rPr>
                <w:rFonts w:hint="eastAsia" w:ascii="宋体" w:hAnsi="宋体" w:eastAsia="宋体" w:cs="宋体"/>
                <w:szCs w:val="21"/>
              </w:rPr>
              <w:t>维保服务费（按24个月分摊支付）</w:t>
            </w:r>
          </w:p>
        </w:tc>
        <w:tc>
          <w:tcPr>
            <w:tcW w:w="1758" w:type="pct"/>
            <w:tcBorders>
              <w:top w:val="single" w:color="auto" w:sz="4" w:space="0"/>
              <w:left w:val="single" w:color="auto" w:sz="4" w:space="0"/>
              <w:bottom w:val="single" w:color="auto" w:sz="4" w:space="0"/>
            </w:tcBorders>
            <w:vAlign w:val="center"/>
          </w:tcPr>
          <w:p w14:paraId="393324BA">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eastAsia" w:ascii="宋体" w:hAnsi="宋体" w:eastAsia="宋体" w:cs="宋体"/>
                <w:szCs w:val="21"/>
                <w:lang w:eastAsia="zh-CN"/>
              </w:rPr>
            </w:pPr>
            <w:r>
              <w:rPr>
                <w:rFonts w:hint="eastAsia" w:ascii="宋体" w:hAnsi="宋体" w:eastAsia="宋体" w:cs="宋体"/>
                <w:szCs w:val="21"/>
                <w:lang w:eastAsia="zh-CN"/>
              </w:rPr>
              <w:t>广州医科大学附属番禺中心医院</w:t>
            </w:r>
          </w:p>
          <w:p w14:paraId="20224C5D">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r>
              <w:rPr>
                <w:rFonts w:hint="eastAsia" w:ascii="宋体" w:hAnsi="宋体" w:eastAsia="宋体" w:cs="宋体"/>
                <w:szCs w:val="21"/>
              </w:rPr>
              <w:t>（含区府门诊、药物维持点）</w:t>
            </w:r>
          </w:p>
        </w:tc>
        <w:tc>
          <w:tcPr>
            <w:tcW w:w="827" w:type="pct"/>
            <w:vAlign w:val="center"/>
          </w:tcPr>
          <w:p w14:paraId="2B0F0DF6">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60</w:t>
            </w:r>
            <w:r>
              <w:rPr>
                <w:rFonts w:hint="eastAsia" w:ascii="宋体" w:hAnsi="宋体" w:eastAsia="宋体" w:cs="宋体"/>
                <w:szCs w:val="21"/>
              </w:rPr>
              <w:t>万/24个月</w:t>
            </w:r>
          </w:p>
        </w:tc>
      </w:tr>
      <w:tr w14:paraId="2005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 w:type="pct"/>
            <w:vMerge w:val="continue"/>
            <w:tcBorders>
              <w:top w:val="single" w:color="auto" w:sz="4" w:space="0"/>
              <w:left w:val="single" w:color="auto" w:sz="4" w:space="0"/>
              <w:bottom w:val="single" w:color="auto" w:sz="4" w:space="0"/>
            </w:tcBorders>
            <w:vAlign w:val="center"/>
          </w:tcPr>
          <w:p w14:paraId="6C9D0753">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p>
        </w:tc>
        <w:tc>
          <w:tcPr>
            <w:tcW w:w="422" w:type="pct"/>
            <w:vMerge w:val="continue"/>
            <w:tcBorders>
              <w:top w:val="single" w:color="auto" w:sz="4" w:space="0"/>
              <w:bottom w:val="single" w:color="auto" w:sz="4" w:space="0"/>
            </w:tcBorders>
            <w:vAlign w:val="center"/>
          </w:tcPr>
          <w:p w14:paraId="785A59E0">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p>
        </w:tc>
        <w:tc>
          <w:tcPr>
            <w:tcW w:w="732" w:type="pct"/>
            <w:vMerge w:val="continue"/>
            <w:tcBorders>
              <w:top w:val="single" w:color="auto" w:sz="4" w:space="0"/>
              <w:bottom w:val="single" w:color="auto" w:sz="4" w:space="0"/>
              <w:right w:val="single" w:color="auto" w:sz="4" w:space="0"/>
            </w:tcBorders>
            <w:vAlign w:val="center"/>
          </w:tcPr>
          <w:p w14:paraId="04563C72">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p>
        </w:tc>
        <w:tc>
          <w:tcPr>
            <w:tcW w:w="677" w:type="pct"/>
            <w:vMerge w:val="continue"/>
            <w:tcBorders>
              <w:top w:val="single" w:color="auto" w:sz="4" w:space="0"/>
              <w:left w:val="single" w:color="auto" w:sz="4" w:space="0"/>
              <w:bottom w:val="single" w:color="auto" w:sz="4" w:space="0"/>
              <w:right w:val="single" w:color="auto" w:sz="4" w:space="0"/>
            </w:tcBorders>
            <w:vAlign w:val="center"/>
          </w:tcPr>
          <w:p w14:paraId="47B1C5C1">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p>
        </w:tc>
        <w:tc>
          <w:tcPr>
            <w:tcW w:w="1758" w:type="pct"/>
            <w:tcBorders>
              <w:top w:val="single" w:color="auto" w:sz="4" w:space="0"/>
              <w:left w:val="single" w:color="auto" w:sz="4" w:space="0"/>
              <w:bottom w:val="single" w:color="auto" w:sz="4" w:space="0"/>
            </w:tcBorders>
            <w:vAlign w:val="center"/>
          </w:tcPr>
          <w:p w14:paraId="2821FC6A">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r>
              <w:rPr>
                <w:rFonts w:hint="eastAsia" w:ascii="宋体" w:hAnsi="宋体" w:eastAsia="宋体" w:cs="宋体"/>
                <w:szCs w:val="21"/>
              </w:rPr>
              <w:t>广州市番禺区第七人民医院</w:t>
            </w:r>
          </w:p>
        </w:tc>
        <w:tc>
          <w:tcPr>
            <w:tcW w:w="827" w:type="pct"/>
            <w:vAlign w:val="center"/>
          </w:tcPr>
          <w:p w14:paraId="14F44B3B">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宋体" w:hAnsi="宋体" w:eastAsia="宋体" w:cs="宋体"/>
                <w:szCs w:val="21"/>
              </w:rPr>
            </w:pPr>
            <w:r>
              <w:rPr>
                <w:rFonts w:hint="eastAsia" w:ascii="宋体" w:hAnsi="宋体" w:eastAsia="宋体" w:cs="宋体"/>
                <w:szCs w:val="21"/>
                <w:lang w:val="en-US" w:eastAsia="zh-CN"/>
              </w:rPr>
              <w:t>7</w:t>
            </w:r>
            <w:r>
              <w:rPr>
                <w:rFonts w:hint="eastAsia" w:ascii="宋体" w:hAnsi="宋体" w:eastAsia="宋体" w:cs="宋体"/>
                <w:szCs w:val="21"/>
              </w:rPr>
              <w:t>万/24个月</w:t>
            </w:r>
          </w:p>
        </w:tc>
      </w:tr>
    </w:tbl>
    <w:p w14:paraId="23955B53">
      <w:pPr>
        <w:rPr>
          <w:b/>
          <w:bCs/>
        </w:rPr>
      </w:pPr>
      <w:r>
        <w:rPr>
          <w:rFonts w:hint="eastAsia"/>
          <w:b/>
          <w:bCs/>
        </w:rPr>
        <w:t>采购包2：</w:t>
      </w:r>
    </w:p>
    <w:tbl>
      <w:tblPr>
        <w:tblStyle w:val="16"/>
        <w:tblW w:w="506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
        <w:gridCol w:w="778"/>
        <w:gridCol w:w="1421"/>
        <w:gridCol w:w="1271"/>
        <w:gridCol w:w="3285"/>
        <w:gridCol w:w="1547"/>
      </w:tblGrid>
      <w:tr w14:paraId="4F4E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Align w:val="center"/>
          </w:tcPr>
          <w:p w14:paraId="6FCC8A5D">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b/>
                <w:bCs/>
                <w:szCs w:val="21"/>
              </w:rPr>
            </w:pPr>
            <w:r>
              <w:rPr>
                <w:rFonts w:hint="eastAsia" w:asciiTheme="minorEastAsia" w:hAnsiTheme="minorEastAsia" w:cstheme="minorEastAsia"/>
                <w:b/>
                <w:bCs/>
                <w:szCs w:val="21"/>
              </w:rPr>
              <w:t>服务名称</w:t>
            </w:r>
          </w:p>
        </w:tc>
        <w:tc>
          <w:tcPr>
            <w:tcW w:w="415" w:type="pct"/>
            <w:vAlign w:val="center"/>
          </w:tcPr>
          <w:p w14:paraId="6168C93D">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b/>
                <w:bCs/>
                <w:szCs w:val="21"/>
              </w:rPr>
            </w:pPr>
            <w:r>
              <w:rPr>
                <w:rFonts w:hint="eastAsia" w:asciiTheme="minorEastAsia" w:hAnsiTheme="minorEastAsia" w:cstheme="minorEastAsia"/>
                <w:b/>
                <w:bCs/>
                <w:szCs w:val="21"/>
              </w:rPr>
              <w:t>服务期限</w:t>
            </w:r>
          </w:p>
        </w:tc>
        <w:tc>
          <w:tcPr>
            <w:tcW w:w="758" w:type="pct"/>
            <w:vAlign w:val="center"/>
          </w:tcPr>
          <w:p w14:paraId="1F4BE09C">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b/>
                <w:bCs/>
                <w:szCs w:val="21"/>
              </w:rPr>
            </w:pPr>
            <w:r>
              <w:rPr>
                <w:rFonts w:hint="eastAsia" w:asciiTheme="minorEastAsia" w:hAnsiTheme="minorEastAsia" w:cstheme="minorEastAsia"/>
                <w:b/>
                <w:bCs/>
                <w:szCs w:val="21"/>
              </w:rPr>
              <w:t>采购预算</w:t>
            </w:r>
          </w:p>
        </w:tc>
        <w:tc>
          <w:tcPr>
            <w:tcW w:w="3255" w:type="pct"/>
            <w:gridSpan w:val="3"/>
            <w:vAlign w:val="center"/>
          </w:tcPr>
          <w:p w14:paraId="038871CB">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b/>
                <w:bCs/>
                <w:szCs w:val="21"/>
              </w:rPr>
            </w:pPr>
            <w:r>
              <w:rPr>
                <w:rFonts w:hint="eastAsia" w:asciiTheme="minorEastAsia" w:hAnsiTheme="minorEastAsia" w:cstheme="minorEastAsia"/>
                <w:b/>
                <w:bCs/>
                <w:szCs w:val="21"/>
              </w:rPr>
              <w:t>预算构成（各项最高限价）</w:t>
            </w:r>
          </w:p>
        </w:tc>
      </w:tr>
      <w:tr w14:paraId="04857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Merge w:val="restart"/>
            <w:vAlign w:val="center"/>
          </w:tcPr>
          <w:p w14:paraId="0AD39A1C">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r>
              <w:rPr>
                <w:rFonts w:hint="eastAsia" w:asciiTheme="minorEastAsia" w:hAnsiTheme="minorEastAsia" w:cstheme="minorEastAsia"/>
                <w:szCs w:val="21"/>
              </w:rPr>
              <w:t>消防年度检测、安全评估</w:t>
            </w:r>
          </w:p>
        </w:tc>
        <w:tc>
          <w:tcPr>
            <w:tcW w:w="415" w:type="pct"/>
            <w:vMerge w:val="restart"/>
            <w:vAlign w:val="center"/>
          </w:tcPr>
          <w:p w14:paraId="4C200521">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r>
              <w:rPr>
                <w:rFonts w:hint="eastAsia" w:asciiTheme="minorEastAsia" w:hAnsiTheme="minorEastAsia" w:cstheme="minorEastAsia"/>
                <w:szCs w:val="21"/>
              </w:rPr>
              <w:t>2年</w:t>
            </w:r>
          </w:p>
        </w:tc>
        <w:tc>
          <w:tcPr>
            <w:tcW w:w="758" w:type="pct"/>
            <w:vMerge w:val="restart"/>
            <w:vAlign w:val="center"/>
          </w:tcPr>
          <w:p w14:paraId="533795C8">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r>
              <w:rPr>
                <w:rFonts w:hint="eastAsia" w:asciiTheme="minorEastAsia" w:hAnsiTheme="minorEastAsia" w:cstheme="minorEastAsia"/>
                <w:szCs w:val="21"/>
                <w:lang w:val="en-US" w:eastAsia="zh-CN"/>
              </w:rPr>
              <w:t>28.2</w:t>
            </w:r>
            <w:r>
              <w:rPr>
                <w:rFonts w:hint="eastAsia" w:asciiTheme="minorEastAsia" w:hAnsiTheme="minorEastAsia" w:cstheme="minorEastAsia"/>
                <w:szCs w:val="21"/>
              </w:rPr>
              <w:t>万元（</w:t>
            </w:r>
            <w:r>
              <w:rPr>
                <w:rFonts w:hint="default" w:asciiTheme="minorEastAsia" w:hAnsiTheme="minorEastAsia" w:cstheme="minorEastAsia"/>
                <w:szCs w:val="21"/>
              </w:rPr>
              <w:t>其中东院区</w:t>
            </w:r>
            <w:r>
              <w:rPr>
                <w:rFonts w:hint="eastAsia" w:asciiTheme="minorEastAsia" w:hAnsiTheme="minorEastAsia" w:cstheme="minorEastAsia"/>
                <w:szCs w:val="21"/>
                <w:lang w:val="en-US" w:eastAsia="zh-CN"/>
              </w:rPr>
              <w:t>2.2</w:t>
            </w:r>
            <w:r>
              <w:rPr>
                <w:rFonts w:hint="eastAsia" w:asciiTheme="minorEastAsia" w:hAnsiTheme="minorEastAsia" w:cstheme="minorEastAsia"/>
                <w:szCs w:val="21"/>
              </w:rPr>
              <w:t>万元）</w:t>
            </w:r>
          </w:p>
        </w:tc>
        <w:tc>
          <w:tcPr>
            <w:tcW w:w="678" w:type="pct"/>
            <w:vMerge w:val="restart"/>
            <w:vAlign w:val="center"/>
          </w:tcPr>
          <w:p w14:paraId="70BAAB6E">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r>
              <w:rPr>
                <w:rFonts w:hint="eastAsia" w:asciiTheme="minorEastAsia" w:hAnsiTheme="minorEastAsia" w:cstheme="minorEastAsia"/>
                <w:szCs w:val="21"/>
              </w:rPr>
              <w:t>消防年度检测、安全评估服务费</w:t>
            </w:r>
          </w:p>
        </w:tc>
        <w:tc>
          <w:tcPr>
            <w:tcW w:w="1752" w:type="pct"/>
            <w:vAlign w:val="center"/>
          </w:tcPr>
          <w:p w14:paraId="394BAA0F">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lang w:eastAsia="zh-CN"/>
              </w:rPr>
              <w:t>广州医科大学附属番禺中心医院</w:t>
            </w:r>
          </w:p>
          <w:p w14:paraId="36CC7883">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r>
              <w:rPr>
                <w:rFonts w:hint="eastAsia" w:asciiTheme="minorEastAsia" w:hAnsiTheme="minorEastAsia" w:cstheme="minorEastAsia"/>
                <w:szCs w:val="21"/>
              </w:rPr>
              <w:t>（含区府门诊、药物维持点）</w:t>
            </w:r>
          </w:p>
        </w:tc>
        <w:tc>
          <w:tcPr>
            <w:tcW w:w="824" w:type="pct"/>
            <w:vAlign w:val="center"/>
          </w:tcPr>
          <w:p w14:paraId="6B4CE7E4">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r>
              <w:rPr>
                <w:rFonts w:hint="eastAsia" w:asciiTheme="minorEastAsia" w:hAnsiTheme="minorEastAsia" w:cstheme="minorEastAsia"/>
                <w:szCs w:val="21"/>
                <w:lang w:val="en-US" w:eastAsia="zh-CN"/>
              </w:rPr>
              <w:t>26</w:t>
            </w:r>
            <w:r>
              <w:rPr>
                <w:rFonts w:hint="eastAsia" w:asciiTheme="minorEastAsia" w:hAnsiTheme="minorEastAsia" w:cstheme="minorEastAsia"/>
                <w:szCs w:val="21"/>
              </w:rPr>
              <w:t>万</w:t>
            </w:r>
            <w:r>
              <w:rPr>
                <w:rFonts w:hint="eastAsia" w:ascii="宋体" w:hAnsi="宋体" w:eastAsia="宋体" w:cs="宋体"/>
                <w:szCs w:val="21"/>
              </w:rPr>
              <w:t>/2年</w:t>
            </w:r>
          </w:p>
        </w:tc>
      </w:tr>
      <w:tr w14:paraId="1BC2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Merge w:val="continue"/>
            <w:vAlign w:val="center"/>
          </w:tcPr>
          <w:p w14:paraId="05916976">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p>
        </w:tc>
        <w:tc>
          <w:tcPr>
            <w:tcW w:w="415" w:type="pct"/>
            <w:vMerge w:val="continue"/>
            <w:vAlign w:val="center"/>
          </w:tcPr>
          <w:p w14:paraId="18B99D76">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p>
        </w:tc>
        <w:tc>
          <w:tcPr>
            <w:tcW w:w="758" w:type="pct"/>
            <w:vMerge w:val="continue"/>
            <w:vAlign w:val="center"/>
          </w:tcPr>
          <w:p w14:paraId="7FDE5C9D">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p>
        </w:tc>
        <w:tc>
          <w:tcPr>
            <w:tcW w:w="678" w:type="pct"/>
            <w:vMerge w:val="continue"/>
            <w:vAlign w:val="center"/>
          </w:tcPr>
          <w:p w14:paraId="45E76FFC">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p>
        </w:tc>
        <w:tc>
          <w:tcPr>
            <w:tcW w:w="1752" w:type="pct"/>
            <w:vAlign w:val="center"/>
          </w:tcPr>
          <w:p w14:paraId="0BFC8BDC">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r>
              <w:rPr>
                <w:rFonts w:hint="eastAsia" w:asciiTheme="minorEastAsia" w:hAnsiTheme="minorEastAsia" w:cstheme="minorEastAsia"/>
                <w:szCs w:val="21"/>
              </w:rPr>
              <w:t>广州市番禺区第七人民医院</w:t>
            </w:r>
          </w:p>
        </w:tc>
        <w:tc>
          <w:tcPr>
            <w:tcW w:w="824" w:type="pct"/>
            <w:vAlign w:val="center"/>
          </w:tcPr>
          <w:p w14:paraId="54CC2E20">
            <w:pPr>
              <w:keepNext w:val="0"/>
              <w:keepLines w:val="0"/>
              <w:suppressLineNumbers w:val="0"/>
              <w:tabs>
                <w:tab w:val="left" w:pos="525"/>
              </w:tabs>
              <w:autoSpaceDE w:val="0"/>
              <w:autoSpaceDN w:val="0"/>
              <w:adjustRightInd w:val="0"/>
              <w:spacing w:before="0" w:beforeAutospacing="0" w:after="0" w:afterAutospacing="0"/>
              <w:ind w:left="0" w:right="0"/>
              <w:jc w:val="center"/>
              <w:outlineLvl w:val="1"/>
              <w:rPr>
                <w:rFonts w:hint="default" w:asciiTheme="minorEastAsia" w:hAnsiTheme="minorEastAsia" w:cstheme="minorEastAsia"/>
                <w:szCs w:val="21"/>
              </w:rPr>
            </w:pPr>
            <w:r>
              <w:rPr>
                <w:rFonts w:hint="eastAsia" w:asciiTheme="minorEastAsia" w:hAnsiTheme="minorEastAsia" w:cstheme="minorEastAsia"/>
                <w:szCs w:val="21"/>
                <w:lang w:val="en-US" w:eastAsia="zh-CN"/>
              </w:rPr>
              <w:t>2.2</w:t>
            </w:r>
            <w:r>
              <w:rPr>
                <w:rFonts w:hint="eastAsia" w:asciiTheme="minorEastAsia" w:hAnsiTheme="minorEastAsia" w:cstheme="minorEastAsia"/>
                <w:szCs w:val="21"/>
              </w:rPr>
              <w:t>万</w:t>
            </w:r>
            <w:r>
              <w:rPr>
                <w:rFonts w:hint="eastAsia" w:ascii="宋体" w:hAnsi="宋体" w:eastAsia="宋体" w:cs="宋体"/>
                <w:szCs w:val="21"/>
              </w:rPr>
              <w:t>/2年</w:t>
            </w:r>
          </w:p>
        </w:tc>
      </w:tr>
    </w:tbl>
    <w:p w14:paraId="21C83407">
      <w:pPr>
        <w:pStyle w:val="36"/>
        <w:numPr>
          <w:ilvl w:val="-1"/>
          <w:numId w:val="0"/>
        </w:numPr>
        <w:ind w:left="0" w:firstLine="0"/>
        <w:rPr>
          <w:rFonts w:asciiTheme="minorEastAsia" w:hAnsiTheme="minorEastAsia" w:eastAsiaTheme="minorEastAsia"/>
          <w:sz w:val="21"/>
          <w:szCs w:val="21"/>
        </w:rPr>
      </w:pPr>
      <w:r>
        <w:rPr>
          <w:rFonts w:hint="eastAsia" w:asciiTheme="minorEastAsia" w:hAnsiTheme="minorEastAsia" w:eastAsiaTheme="minorEastAsia"/>
          <w:sz w:val="21"/>
          <w:szCs w:val="21"/>
          <w:lang w:eastAsia="zh-CN"/>
        </w:rPr>
        <w:t>（四）</w:t>
      </w:r>
      <w:r>
        <w:rPr>
          <w:rFonts w:hint="eastAsia" w:asciiTheme="minorEastAsia" w:hAnsiTheme="minorEastAsia" w:eastAsiaTheme="minorEastAsia"/>
          <w:sz w:val="21"/>
          <w:szCs w:val="21"/>
        </w:rPr>
        <w:t>本项目类别：服务类。本项目采购标的对应的中小企业划分标准所属行业为：</w:t>
      </w:r>
      <w:r>
        <w:rPr>
          <w:rFonts w:asciiTheme="minorEastAsia" w:hAnsiTheme="minorEastAsia" w:eastAsiaTheme="minorEastAsia"/>
          <w:sz w:val="21"/>
          <w:szCs w:val="21"/>
        </w:rPr>
        <w:t>其他未列明行业</w:t>
      </w:r>
      <w:r>
        <w:rPr>
          <w:rFonts w:hint="eastAsia" w:asciiTheme="minorEastAsia" w:hAnsiTheme="minorEastAsia" w:eastAsiaTheme="minorEastAsia"/>
          <w:sz w:val="21"/>
          <w:szCs w:val="21"/>
        </w:rPr>
        <w:t>。供应商享受中小企业扶持政策的，需根据本项目类别填写《中小企业声明函（服务）》。供应商提供的声明函中填写的内容有误，将可能导致无法享受相关中小企业扶持政策。若所提供的声明函内容不实的，属于提供虚假材料谋取中标，依照《中华人民共和国政府采购法》等国家有关规定追究相应责任。</w:t>
      </w:r>
    </w:p>
    <w:p w14:paraId="3B54E9BA">
      <w:pPr>
        <w:pStyle w:val="36"/>
        <w:numPr>
          <w:ilvl w:val="-1"/>
          <w:numId w:val="0"/>
        </w:numPr>
        <w:ind w:left="0" w:firstLine="0"/>
        <w:rPr>
          <w:rFonts w:hAnsi="宋体"/>
          <w:bCs/>
          <w:sz w:val="21"/>
          <w:szCs w:val="21"/>
        </w:rPr>
      </w:pPr>
      <w:r>
        <w:rPr>
          <w:rFonts w:hint="eastAsia" w:hAnsi="宋体"/>
          <w:bCs/>
          <w:sz w:val="21"/>
          <w:szCs w:val="21"/>
          <w:lang w:eastAsia="zh-CN"/>
        </w:rPr>
        <w:t>（五）</w:t>
      </w:r>
      <w:r>
        <w:rPr>
          <w:rFonts w:hint="eastAsia" w:hAnsi="宋体"/>
          <w:bCs/>
          <w:sz w:val="21"/>
          <w:szCs w:val="21"/>
        </w:rPr>
        <w:t>本项目共分两个采购包，供应商可对其中一个或多个采购包进行。采购包为最小</w:t>
      </w:r>
      <w:r>
        <w:rPr>
          <w:rFonts w:hint="eastAsia" w:hAnsi="宋体"/>
          <w:bCs/>
          <w:sz w:val="21"/>
          <w:szCs w:val="21"/>
          <w:lang w:eastAsia="zh-CN"/>
        </w:rPr>
        <w:t>报价</w:t>
      </w:r>
      <w:r>
        <w:rPr>
          <w:rFonts w:hint="eastAsia" w:hAnsi="宋体"/>
          <w:bCs/>
          <w:sz w:val="21"/>
          <w:szCs w:val="21"/>
        </w:rPr>
        <w:t>单位，供应商须对所投采购包的采购标的进行整体</w:t>
      </w:r>
      <w:r>
        <w:rPr>
          <w:rFonts w:hint="eastAsia" w:hAnsi="宋体"/>
          <w:bCs/>
          <w:sz w:val="21"/>
          <w:szCs w:val="21"/>
          <w:lang w:eastAsia="zh-CN"/>
        </w:rPr>
        <w:t>报价</w:t>
      </w:r>
      <w:r>
        <w:rPr>
          <w:rFonts w:hint="eastAsia" w:hAnsi="宋体"/>
          <w:bCs/>
          <w:sz w:val="21"/>
          <w:szCs w:val="21"/>
        </w:rPr>
        <w:t>，任何只对采购包采购标的其中一部分内容、数量进行的</w:t>
      </w:r>
      <w:r>
        <w:rPr>
          <w:rFonts w:hint="eastAsia" w:hAnsi="宋体"/>
          <w:bCs/>
          <w:sz w:val="21"/>
          <w:szCs w:val="21"/>
          <w:lang w:eastAsia="zh-CN"/>
        </w:rPr>
        <w:t>报价</w:t>
      </w:r>
      <w:r>
        <w:rPr>
          <w:rFonts w:hint="eastAsia" w:hAnsi="宋体"/>
          <w:bCs/>
          <w:sz w:val="21"/>
          <w:szCs w:val="21"/>
        </w:rPr>
        <w:t>都被视为无效</w:t>
      </w:r>
      <w:r>
        <w:rPr>
          <w:rFonts w:hint="eastAsia" w:hAnsi="宋体"/>
          <w:bCs/>
          <w:sz w:val="21"/>
          <w:szCs w:val="21"/>
          <w:lang w:eastAsia="zh-CN"/>
        </w:rPr>
        <w:t>报价</w:t>
      </w:r>
      <w:r>
        <w:rPr>
          <w:rFonts w:hint="eastAsia" w:hAnsi="宋体"/>
          <w:bCs/>
          <w:sz w:val="21"/>
          <w:szCs w:val="21"/>
        </w:rPr>
        <w:t>。</w:t>
      </w:r>
    </w:p>
    <w:p w14:paraId="6F5AF240">
      <w:pPr>
        <w:pStyle w:val="36"/>
        <w:numPr>
          <w:ilvl w:val="-1"/>
          <w:numId w:val="0"/>
        </w:numPr>
        <w:ind w:left="0" w:firstLine="0"/>
        <w:rPr>
          <w:rFonts w:hAnsi="宋体"/>
          <w:bCs/>
          <w:sz w:val="21"/>
          <w:szCs w:val="21"/>
        </w:rPr>
      </w:pPr>
      <w:r>
        <w:rPr>
          <w:rFonts w:hint="eastAsia" w:hAnsi="宋体"/>
          <w:bCs/>
          <w:sz w:val="21"/>
          <w:szCs w:val="21"/>
          <w:lang w:eastAsia="zh-CN"/>
        </w:rPr>
        <w:t>（六）</w:t>
      </w:r>
      <w:r>
        <w:rPr>
          <w:rFonts w:hint="eastAsia" w:hAnsi="宋体"/>
          <w:bCs/>
          <w:sz w:val="21"/>
          <w:szCs w:val="21"/>
        </w:rPr>
        <w:t>总体要求</w:t>
      </w:r>
    </w:p>
    <w:p w14:paraId="14C17225">
      <w:pPr>
        <w:numPr>
          <w:ilvl w:val="1"/>
          <w:numId w:val="3"/>
        </w:numPr>
        <w:ind w:left="0" w:firstLine="426"/>
        <w:rPr>
          <w:rFonts w:ascii="宋体" w:hAnsi="宋体" w:eastAsia="宋体" w:cs="宋体"/>
          <w:bCs/>
          <w:szCs w:val="21"/>
        </w:rPr>
      </w:pPr>
      <w:r>
        <w:rPr>
          <w:rFonts w:hint="eastAsia" w:ascii="宋体" w:hAnsi="宋体" w:eastAsia="宋体" w:cs="宋体"/>
          <w:bCs/>
          <w:szCs w:val="21"/>
        </w:rPr>
        <w:t>供应商对竞争性磋商文件《采购需求》中有关“★”号条款的实质性要求必须一一在《实质性响应一览表》中进行响应，供应商如有一项带“★”的条款未响应或不满足，将按无效</w:t>
      </w:r>
      <w:r>
        <w:rPr>
          <w:rFonts w:hint="eastAsia" w:ascii="宋体" w:hAnsi="宋体" w:eastAsia="宋体" w:cs="宋体"/>
          <w:bCs/>
          <w:szCs w:val="21"/>
          <w:lang w:eastAsia="zh-CN"/>
        </w:rPr>
        <w:t>报价</w:t>
      </w:r>
      <w:r>
        <w:rPr>
          <w:rFonts w:hint="eastAsia" w:ascii="宋体" w:hAnsi="宋体" w:eastAsia="宋体" w:cs="宋体"/>
          <w:bCs/>
          <w:szCs w:val="21"/>
        </w:rPr>
        <w:t>处理。</w:t>
      </w:r>
    </w:p>
    <w:p w14:paraId="60C1DA0C">
      <w:pPr>
        <w:widowControl/>
        <w:rPr>
          <w:rFonts w:ascii="宋体" w:hAnsi="宋体" w:eastAsia="宋体" w:cs="宋体"/>
          <w:bCs/>
          <w:szCs w:val="21"/>
        </w:rPr>
      </w:pPr>
      <w:r>
        <w:rPr>
          <w:rFonts w:hint="eastAsia" w:ascii="宋体" w:hAnsi="宋体" w:eastAsia="宋体" w:cs="宋体"/>
          <w:bCs/>
          <w:szCs w:val="21"/>
        </w:rPr>
        <w:br w:type="page"/>
      </w:r>
    </w:p>
    <w:p w14:paraId="522B075A">
      <w:pPr>
        <w:pStyle w:val="3"/>
        <w:rPr>
          <w:rFonts w:asciiTheme="minorEastAsia" w:hAnsiTheme="minorEastAsia"/>
          <w:sz w:val="21"/>
          <w:szCs w:val="21"/>
        </w:rPr>
      </w:pPr>
      <w:r>
        <w:rPr>
          <w:rFonts w:hint="eastAsia" w:asciiTheme="minorEastAsia" w:hAnsiTheme="minorEastAsia" w:eastAsiaTheme="minorEastAsia"/>
          <w:sz w:val="21"/>
          <w:szCs w:val="21"/>
        </w:rPr>
        <w:t>采购包1（</w:t>
      </w:r>
      <w:r>
        <w:rPr>
          <w:rFonts w:hint="eastAsia" w:asciiTheme="minorEastAsia" w:hAnsiTheme="minorEastAsia"/>
          <w:sz w:val="21"/>
          <w:szCs w:val="21"/>
        </w:rPr>
        <w:t>番禺中心医院医疗集团消防维保服务采购项目）</w:t>
      </w:r>
    </w:p>
    <w:p w14:paraId="30D3202A">
      <w:pPr>
        <w:pStyle w:val="4"/>
        <w:rPr>
          <w:rFonts w:asciiTheme="minorEastAsia" w:hAnsiTheme="minorEastAsia"/>
          <w:sz w:val="21"/>
          <w:szCs w:val="21"/>
        </w:rPr>
      </w:pPr>
      <w:r>
        <w:rPr>
          <w:rFonts w:hint="eastAsia" w:asciiTheme="minorEastAsia" w:hAnsiTheme="minorEastAsia"/>
          <w:sz w:val="21"/>
          <w:szCs w:val="21"/>
        </w:rPr>
        <w:t>（一）商务要求</w:t>
      </w:r>
    </w:p>
    <w:p w14:paraId="7FC9B656">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1、标的提供时间及地点</w:t>
      </w:r>
    </w:p>
    <w:p w14:paraId="6FACA2E5">
      <w:pPr>
        <w:rPr>
          <w:rFonts w:asciiTheme="minorEastAsia" w:hAnsiTheme="minorEastAsia"/>
          <w:bCs/>
          <w:szCs w:val="21"/>
          <w:u w:val="single"/>
        </w:rPr>
      </w:pPr>
      <w:r>
        <w:rPr>
          <w:rFonts w:hint="eastAsia" w:asciiTheme="minorEastAsia" w:hAnsiTheme="minorEastAsia"/>
          <w:b/>
          <w:szCs w:val="21"/>
        </w:rPr>
        <w:t>标的提供时间：</w:t>
      </w:r>
      <w:r>
        <w:rPr>
          <w:rFonts w:hint="eastAsia" w:asciiTheme="minorEastAsia" w:hAnsiTheme="minorEastAsia"/>
          <w:bCs/>
          <w:szCs w:val="21"/>
          <w:u w:val="single"/>
        </w:rPr>
        <w:t>2年</w:t>
      </w:r>
    </w:p>
    <w:p w14:paraId="5249DDCF">
      <w:pPr>
        <w:rPr>
          <w:rFonts w:asciiTheme="minorEastAsia" w:hAnsiTheme="minorEastAsia"/>
          <w:bCs/>
          <w:szCs w:val="21"/>
          <w:u w:val="single"/>
        </w:rPr>
      </w:pPr>
      <w:r>
        <w:rPr>
          <w:rFonts w:hint="eastAsia" w:asciiTheme="minorEastAsia" w:hAnsiTheme="minorEastAsia"/>
          <w:b/>
          <w:szCs w:val="21"/>
        </w:rPr>
        <w:t>标的提供地点：</w:t>
      </w:r>
      <w:r>
        <w:rPr>
          <w:rFonts w:hint="eastAsia" w:asciiTheme="minorEastAsia" w:hAnsiTheme="minorEastAsia"/>
          <w:bCs/>
          <w:szCs w:val="21"/>
          <w:u w:val="single"/>
        </w:rPr>
        <w:t>采购人指定地点</w:t>
      </w:r>
    </w:p>
    <w:p w14:paraId="4A3DE679">
      <w:pPr>
        <w:rPr>
          <w:rFonts w:asciiTheme="minorEastAsia" w:hAnsiTheme="minorEastAsia"/>
          <w:szCs w:val="21"/>
        </w:rPr>
      </w:pPr>
    </w:p>
    <w:p w14:paraId="34C4279A">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2、支付期次</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7"/>
        <w:gridCol w:w="1290"/>
        <w:gridCol w:w="6885"/>
      </w:tblGrid>
      <w:tr w14:paraId="626B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pct"/>
            <w:vAlign w:val="center"/>
          </w:tcPr>
          <w:p w14:paraId="587AC49B">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支付期次</w:t>
            </w:r>
          </w:p>
        </w:tc>
        <w:tc>
          <w:tcPr>
            <w:tcW w:w="698" w:type="pct"/>
            <w:vAlign w:val="center"/>
          </w:tcPr>
          <w:p w14:paraId="508EAD05">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支付比例％</w:t>
            </w:r>
          </w:p>
        </w:tc>
        <w:tc>
          <w:tcPr>
            <w:tcW w:w="3724" w:type="pct"/>
            <w:vAlign w:val="center"/>
          </w:tcPr>
          <w:p w14:paraId="0E879A7B">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支付说明</w:t>
            </w:r>
          </w:p>
        </w:tc>
      </w:tr>
      <w:tr w14:paraId="5C58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pct"/>
            <w:vAlign w:val="center"/>
          </w:tcPr>
          <w:p w14:paraId="7075A1FB">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1</w:t>
            </w:r>
          </w:p>
        </w:tc>
        <w:tc>
          <w:tcPr>
            <w:tcW w:w="698" w:type="pct"/>
            <w:vAlign w:val="center"/>
          </w:tcPr>
          <w:p w14:paraId="04633BAA">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100</w:t>
            </w:r>
          </w:p>
        </w:tc>
        <w:tc>
          <w:tcPr>
            <w:tcW w:w="3724" w:type="pct"/>
            <w:vAlign w:val="center"/>
          </w:tcPr>
          <w:p w14:paraId="35CD925C">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（一）成交供应商每月5日前提交上个月维保服务费的全额发票、请款函及经采购人主管部门审核通过的服务质量考评资料。成交供应商开具符合规定的增值税普通发票。采购人在5个工作日内办理支付。</w:t>
            </w:r>
          </w:p>
          <w:p w14:paraId="64CA24BB">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（二）最后1个月的维保服务费在服务期满，成交供应商将所有消防系统、设备完好的清单交给采购人后的5个工作日内，采购人办理支付最后1个月的服务费。</w:t>
            </w:r>
          </w:p>
          <w:p w14:paraId="7AD2DFD5">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（三）如成交供应商提供维护保养服务不足一个月时，按日计算服务费。</w:t>
            </w:r>
          </w:p>
          <w:p w14:paraId="79E65CC4">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宋体" w:hAnsi="宋体"/>
                <w:szCs w:val="21"/>
              </w:rPr>
              <w:t>（</w:t>
            </w:r>
            <w:r>
              <w:rPr>
                <w:rFonts w:hint="eastAsia" w:ascii="宋体" w:hAnsi="宋体"/>
                <w:szCs w:val="21"/>
                <w:lang w:eastAsia="zh-CN"/>
              </w:rPr>
              <w:t>四</w:t>
            </w:r>
            <w:r>
              <w:rPr>
                <w:rFonts w:hint="eastAsia" w:ascii="宋体" w:hAnsi="宋体"/>
                <w:szCs w:val="21"/>
              </w:rPr>
              <w:t>）涉及番禺区第七人民医院的所有费用由成交供应商与番禺区第七人民医院对接，进行独立结算。</w:t>
            </w:r>
          </w:p>
        </w:tc>
      </w:tr>
    </w:tbl>
    <w:p w14:paraId="22CDFA5D">
      <w:pPr>
        <w:rPr>
          <w:rFonts w:asciiTheme="minorEastAsia" w:hAnsiTheme="minorEastAsia"/>
          <w:szCs w:val="21"/>
        </w:rPr>
      </w:pPr>
    </w:p>
    <w:p w14:paraId="3A4E796D">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3、验收要求</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8142"/>
      </w:tblGrid>
      <w:tr w14:paraId="7B42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 w:type="pct"/>
            <w:vAlign w:val="center"/>
          </w:tcPr>
          <w:p w14:paraId="7859641B">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验收期次</w:t>
            </w:r>
          </w:p>
        </w:tc>
        <w:tc>
          <w:tcPr>
            <w:tcW w:w="4404" w:type="pct"/>
            <w:vAlign w:val="center"/>
          </w:tcPr>
          <w:p w14:paraId="07F04391">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验收要求</w:t>
            </w:r>
          </w:p>
        </w:tc>
      </w:tr>
      <w:tr w14:paraId="536F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 w:type="pct"/>
            <w:vAlign w:val="center"/>
          </w:tcPr>
          <w:p w14:paraId="32835860">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1</w:t>
            </w:r>
          </w:p>
        </w:tc>
        <w:tc>
          <w:tcPr>
            <w:tcW w:w="4404" w:type="pct"/>
            <w:vAlign w:val="center"/>
          </w:tcPr>
          <w:p w14:paraId="6A082A87">
            <w:pPr>
              <w:keepNext w:val="0"/>
              <w:keepLines w:val="0"/>
              <w:suppressLineNumbers w:val="0"/>
              <w:spacing w:before="0" w:beforeAutospacing="0" w:after="0" w:afterAutospacing="0"/>
              <w:ind w:left="0" w:right="0"/>
              <w:rPr>
                <w:rFonts w:hint="default" w:asciiTheme="minorEastAsia" w:hAnsiTheme="minorEastAsia"/>
                <w:szCs w:val="21"/>
              </w:rPr>
            </w:pPr>
            <w:r>
              <w:rPr>
                <w:rFonts w:hint="default" w:asciiTheme="minorEastAsia" w:hAnsiTheme="minorEastAsia"/>
                <w:szCs w:val="21"/>
              </w:rPr>
              <w:t>1、消防维保服务根据</w:t>
            </w:r>
            <w:r>
              <w:rPr>
                <w:rFonts w:hint="eastAsia" w:asciiTheme="minorEastAsia" w:hAnsiTheme="minorEastAsia"/>
                <w:szCs w:val="21"/>
              </w:rPr>
              <w:t>竞争性磋商文件</w:t>
            </w:r>
            <w:r>
              <w:rPr>
                <w:rFonts w:hint="default" w:asciiTheme="minorEastAsia" w:hAnsiTheme="minorEastAsia"/>
                <w:szCs w:val="21"/>
              </w:rPr>
              <w:t>有关服务质量条款及服务质量考评表进行验收。</w:t>
            </w:r>
          </w:p>
          <w:p w14:paraId="4F6F355E">
            <w:pPr>
              <w:keepNext w:val="0"/>
              <w:keepLines w:val="0"/>
              <w:suppressLineNumbers w:val="0"/>
              <w:spacing w:before="0" w:beforeAutospacing="0" w:after="0" w:afterAutospacing="0"/>
              <w:ind w:left="0" w:right="0"/>
              <w:rPr>
                <w:rFonts w:hint="default" w:asciiTheme="minorEastAsia" w:hAnsiTheme="minorEastAsia"/>
                <w:szCs w:val="21"/>
              </w:rPr>
            </w:pPr>
          </w:p>
        </w:tc>
      </w:tr>
    </w:tbl>
    <w:p w14:paraId="74D1C56B">
      <w:pPr>
        <w:rPr>
          <w:rFonts w:asciiTheme="minorEastAsia" w:hAnsiTheme="minorEastAsia"/>
          <w:szCs w:val="21"/>
        </w:rPr>
      </w:pPr>
    </w:p>
    <w:p w14:paraId="313599B3">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4、履约保证金</w:t>
      </w:r>
    </w:p>
    <w:p w14:paraId="4D97254E">
      <w:pPr>
        <w:rPr>
          <w:rFonts w:asciiTheme="minorEastAsia" w:hAnsiTheme="minorEastAsia"/>
          <w:szCs w:val="21"/>
        </w:rPr>
      </w:pPr>
      <w:r>
        <w:rPr>
          <w:rFonts w:hint="eastAsia" w:asciiTheme="minorEastAsia" w:hAnsiTheme="minorEastAsia"/>
          <w:b/>
          <w:szCs w:val="21"/>
        </w:rPr>
        <w:t>收取履约保证金：</w:t>
      </w:r>
      <w:r>
        <w:rPr>
          <w:rFonts w:hint="eastAsia" w:asciiTheme="minorEastAsia" w:hAnsiTheme="minorEastAsia"/>
          <w:szCs w:val="21"/>
        </w:rPr>
        <w:t xml:space="preserve">是 </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7549"/>
      </w:tblGrid>
      <w:tr w14:paraId="7389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pct"/>
            <w:vAlign w:val="center"/>
          </w:tcPr>
          <w:p w14:paraId="5616CAC4">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收取比例％</w:t>
            </w:r>
          </w:p>
        </w:tc>
        <w:tc>
          <w:tcPr>
            <w:tcW w:w="4084" w:type="pct"/>
            <w:vAlign w:val="center"/>
          </w:tcPr>
          <w:p w14:paraId="4C60F563">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说明</w:t>
            </w:r>
          </w:p>
        </w:tc>
      </w:tr>
      <w:tr w14:paraId="15CD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pct"/>
            <w:vAlign w:val="center"/>
          </w:tcPr>
          <w:p w14:paraId="38CE1977">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5</w:t>
            </w:r>
          </w:p>
        </w:tc>
        <w:tc>
          <w:tcPr>
            <w:tcW w:w="4084" w:type="pct"/>
            <w:vAlign w:val="center"/>
          </w:tcPr>
          <w:p w14:paraId="20C67CB1">
            <w:pPr>
              <w:keepNext w:val="0"/>
              <w:keepLines w:val="0"/>
              <w:suppressLineNumbers w:val="0"/>
              <w:spacing w:before="0" w:beforeAutospacing="0" w:after="0" w:afterAutospacing="0"/>
              <w:ind w:left="0" w:right="0"/>
              <w:rPr>
                <w:rFonts w:hint="default" w:ascii="宋体" w:hAnsi="宋体"/>
              </w:rPr>
            </w:pPr>
            <w:r>
              <w:rPr>
                <w:rFonts w:hint="eastAsia" w:asciiTheme="minorEastAsia" w:hAnsiTheme="minorEastAsia"/>
                <w:szCs w:val="21"/>
              </w:rPr>
              <w:t>1.在合同生效后的5个工作日内，成交供应商向采购人交纳合同履约保证金，金额为本项目中标总价的5%。履约</w:t>
            </w:r>
            <w:r>
              <w:rPr>
                <w:rFonts w:hint="eastAsia" w:ascii="宋体" w:hAnsi="宋体"/>
              </w:rPr>
              <w:t>保证金以支票、汇票、本票或者金融机构、担保机构出具的保函等非现金形式提交。以现金形式提交的在合同期满并</w:t>
            </w:r>
            <w:r>
              <w:rPr>
                <w:rFonts w:hint="eastAsia" w:asciiTheme="minorEastAsia" w:hAnsiTheme="minorEastAsia"/>
                <w:szCs w:val="21"/>
              </w:rPr>
              <w:t>成交供应商</w:t>
            </w:r>
            <w:r>
              <w:rPr>
                <w:rFonts w:hint="eastAsia" w:ascii="宋体" w:hAnsi="宋体"/>
              </w:rPr>
              <w:t>履行完全部的义务后无息退回，以非现金形式提交的在合同期满并</w:t>
            </w:r>
            <w:r>
              <w:rPr>
                <w:rFonts w:hint="eastAsia" w:asciiTheme="minorEastAsia" w:hAnsiTheme="minorEastAsia"/>
                <w:szCs w:val="21"/>
              </w:rPr>
              <w:t>成交供应商</w:t>
            </w:r>
            <w:r>
              <w:rPr>
                <w:rFonts w:hint="eastAsia" w:ascii="宋体" w:hAnsi="宋体"/>
              </w:rPr>
              <w:t>履行完全部的义务后退回提交的保函。</w:t>
            </w:r>
          </w:p>
          <w:p w14:paraId="7AB35582">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2.履约保证金不予退还的情形:</w:t>
            </w:r>
          </w:p>
          <w:p w14:paraId="6C2C3ADA">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（1）若在合同有效期内，凡因成交供应商责任，使采购人解除本合同的，履约保证金不向成交供应商退还。</w:t>
            </w:r>
          </w:p>
          <w:p w14:paraId="6D417406">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（2）如成交供应商出现违约行为，则不再返还履约保证金。</w:t>
            </w:r>
          </w:p>
          <w:p w14:paraId="1030119F">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（3）出现了采购文件及合同约定的不予退还履约保证金情形的。</w:t>
            </w:r>
          </w:p>
          <w:p w14:paraId="0EAF31B2">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 xml:space="preserve">（4）采购人逾期退还履约保证金的，从逾期之日起每日按履约保证金金额的 1‰的数额向成交供应商支付违约金，但因成交供应商自身原因导致无法及时退还的除外。 </w:t>
            </w:r>
          </w:p>
        </w:tc>
      </w:tr>
    </w:tbl>
    <w:p w14:paraId="28790D8D">
      <w:pPr>
        <w:rPr>
          <w:rFonts w:asciiTheme="minorEastAsia" w:hAnsiTheme="minorEastAsia"/>
          <w:szCs w:val="21"/>
        </w:rPr>
      </w:pPr>
    </w:p>
    <w:p w14:paraId="098F167C">
      <w:pPr>
        <w:pStyle w:val="5"/>
        <w:spacing w:before="0" w:after="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rPr>
        <w:t>5、联合体</w:t>
      </w:r>
      <w:r>
        <w:rPr>
          <w:rFonts w:hint="eastAsia" w:asciiTheme="minorEastAsia" w:hAnsiTheme="minorEastAsia" w:eastAsiaTheme="minorEastAsia"/>
          <w:sz w:val="21"/>
          <w:szCs w:val="21"/>
          <w:lang w:eastAsia="zh-CN"/>
        </w:rPr>
        <w:t>报价</w:t>
      </w:r>
    </w:p>
    <w:p w14:paraId="4AE06626">
      <w:pPr>
        <w:rPr>
          <w:rFonts w:asciiTheme="minorEastAsia" w:hAnsiTheme="minorEastAsia"/>
          <w:szCs w:val="21"/>
        </w:rPr>
      </w:pPr>
      <w:r>
        <w:rPr>
          <w:rFonts w:hint="eastAsia" w:asciiTheme="minorEastAsia" w:hAnsiTheme="minorEastAsia"/>
          <w:b/>
          <w:szCs w:val="21"/>
        </w:rPr>
        <w:t>接受联合体</w:t>
      </w:r>
      <w:r>
        <w:rPr>
          <w:rFonts w:hint="eastAsia" w:asciiTheme="minorEastAsia" w:hAnsiTheme="minorEastAsia"/>
          <w:b/>
          <w:szCs w:val="21"/>
          <w:lang w:eastAsia="zh-CN"/>
        </w:rPr>
        <w:t>报价</w:t>
      </w:r>
      <w:r>
        <w:rPr>
          <w:rFonts w:hint="eastAsia" w:asciiTheme="minorEastAsia" w:hAnsiTheme="minorEastAsia"/>
          <w:b/>
          <w:szCs w:val="21"/>
        </w:rPr>
        <w:t>：</w:t>
      </w:r>
      <w:r>
        <w:rPr>
          <w:rFonts w:hint="eastAsia" w:asciiTheme="minorEastAsia" w:hAnsiTheme="minorEastAsia"/>
          <w:szCs w:val="21"/>
        </w:rPr>
        <w:t xml:space="preserve"> 否</w:t>
      </w:r>
    </w:p>
    <w:p w14:paraId="058DD3F6">
      <w:pPr>
        <w:rPr>
          <w:rFonts w:asciiTheme="minorEastAsia" w:hAnsiTheme="minorEastAsia"/>
          <w:szCs w:val="21"/>
        </w:rPr>
      </w:pPr>
    </w:p>
    <w:p w14:paraId="2591FDCF">
      <w:pPr>
        <w:pStyle w:val="5"/>
        <w:spacing w:before="0" w:after="0"/>
        <w:rPr>
          <w:rFonts w:asciiTheme="minorEastAsia" w:hAnsiTheme="minorEastAsia" w:eastAsiaTheme="minorEastAsia"/>
          <w:sz w:val="21"/>
          <w:szCs w:val="21"/>
        </w:rPr>
      </w:pPr>
      <w:r>
        <w:rPr>
          <w:rFonts w:hint="eastAsia" w:asciiTheme="minorEastAsia" w:hAnsiTheme="minorEastAsia" w:eastAsiaTheme="minorEastAsia"/>
          <w:sz w:val="21"/>
          <w:szCs w:val="21"/>
        </w:rPr>
        <w:t>6、合同履约期限</w:t>
      </w:r>
    </w:p>
    <w:p w14:paraId="43C82714">
      <w:pPr>
        <w:rPr>
          <w:rFonts w:asciiTheme="minorEastAsia" w:hAnsiTheme="minorEastAsia"/>
          <w:szCs w:val="21"/>
        </w:rPr>
      </w:pPr>
      <w:r>
        <w:rPr>
          <w:rFonts w:hint="eastAsia" w:asciiTheme="minorEastAsia" w:hAnsiTheme="minorEastAsia"/>
          <w:b/>
          <w:szCs w:val="21"/>
        </w:rPr>
        <w:t>合同履行期限：</w:t>
      </w:r>
      <w:r>
        <w:rPr>
          <w:rFonts w:hint="eastAsia" w:asciiTheme="minorEastAsia" w:hAnsiTheme="minorEastAsia"/>
          <w:bCs/>
          <w:szCs w:val="21"/>
          <w:u w:val="single"/>
        </w:rPr>
        <w:t>2年</w:t>
      </w:r>
      <w:r>
        <w:rPr>
          <w:rFonts w:asciiTheme="minorEastAsia" w:hAnsiTheme="minorEastAsia"/>
          <w:szCs w:val="21"/>
        </w:rPr>
        <w:t xml:space="preserve"> </w:t>
      </w:r>
    </w:p>
    <w:p w14:paraId="4DEF51E0">
      <w:pPr>
        <w:rPr>
          <w:rFonts w:asciiTheme="minorEastAsia" w:hAnsiTheme="minorEastAsia"/>
          <w:szCs w:val="21"/>
        </w:rPr>
      </w:pPr>
    </w:p>
    <w:p w14:paraId="0C36C0C1">
      <w:pPr>
        <w:pStyle w:val="5"/>
        <w:spacing w:before="0" w:after="0"/>
        <w:rPr>
          <w:rFonts w:asciiTheme="minorEastAsia" w:hAnsiTheme="minorEastAsia" w:eastAsiaTheme="minorEastAsia"/>
          <w:sz w:val="21"/>
          <w:szCs w:val="21"/>
        </w:rPr>
      </w:pPr>
      <w:r>
        <w:rPr>
          <w:rFonts w:hint="eastAsia" w:asciiTheme="minorEastAsia" w:hAnsiTheme="minorEastAsia" w:eastAsiaTheme="minorEastAsia"/>
          <w:sz w:val="21"/>
          <w:szCs w:val="21"/>
        </w:rPr>
        <w:t>7、采购资金支付方式</w:t>
      </w:r>
    </w:p>
    <w:p w14:paraId="0D597C11">
      <w:pPr>
        <w:rPr>
          <w:rFonts w:asciiTheme="minorEastAsia" w:hAnsiTheme="minorEastAsia"/>
          <w:szCs w:val="21"/>
        </w:rPr>
      </w:pPr>
      <w:r>
        <w:rPr>
          <w:rFonts w:hint="eastAsia" w:asciiTheme="minorEastAsia" w:hAnsiTheme="minorEastAsia"/>
          <w:b/>
          <w:szCs w:val="21"/>
        </w:rPr>
        <w:t>采购资金支付方式：</w:t>
      </w:r>
      <w:r>
        <w:rPr>
          <w:rFonts w:hint="eastAsia" w:asciiTheme="minorEastAsia" w:hAnsiTheme="minorEastAsia"/>
          <w:szCs w:val="21"/>
        </w:rPr>
        <w:t>单位自行支付</w:t>
      </w:r>
    </w:p>
    <w:p w14:paraId="69951A87">
      <w:pPr>
        <w:rPr>
          <w:rFonts w:asciiTheme="minorEastAsia" w:hAnsiTheme="minorEastAsia"/>
          <w:b/>
          <w:szCs w:val="21"/>
        </w:rPr>
      </w:pPr>
    </w:p>
    <w:p w14:paraId="5D05A4CD">
      <w:pPr>
        <w:pStyle w:val="5"/>
        <w:spacing w:before="0" w:after="0"/>
        <w:rPr>
          <w:rFonts w:asciiTheme="minorEastAsia" w:hAnsiTheme="minorEastAsia" w:eastAsiaTheme="minorEastAsia"/>
          <w:sz w:val="21"/>
          <w:szCs w:val="21"/>
        </w:rPr>
      </w:pPr>
      <w:r>
        <w:rPr>
          <w:rFonts w:hint="eastAsia" w:asciiTheme="minorEastAsia" w:hAnsiTheme="minorEastAsia" w:eastAsiaTheme="minorEastAsia"/>
          <w:sz w:val="21"/>
          <w:szCs w:val="21"/>
        </w:rPr>
        <w:t>8、供应商响应设置</w:t>
      </w:r>
    </w:p>
    <w:p w14:paraId="1C008AC4">
      <w:pPr>
        <w:rPr>
          <w:rFonts w:asciiTheme="minorEastAsia" w:hAnsiTheme="minorEastAsia"/>
          <w:color w:val="FF0000"/>
          <w:szCs w:val="21"/>
        </w:rPr>
      </w:pPr>
      <w:r>
        <w:rPr>
          <w:rFonts w:hint="eastAsia" w:asciiTheme="minorEastAsia" w:hAnsiTheme="minorEastAsia"/>
          <w:b/>
          <w:szCs w:val="21"/>
        </w:rPr>
        <w:t xml:space="preserve">允许供应商分项报价进行细化： </w:t>
      </w:r>
      <w:r>
        <w:rPr>
          <w:rFonts w:hint="eastAsia" w:asciiTheme="minorEastAsia" w:hAnsiTheme="minorEastAsia"/>
          <w:szCs w:val="21"/>
        </w:rPr>
        <w:t>是</w:t>
      </w:r>
    </w:p>
    <w:p w14:paraId="1E5C895E">
      <w:pPr>
        <w:rPr>
          <w:rFonts w:asciiTheme="minorEastAsia" w:hAnsiTheme="minorEastAsia"/>
          <w:color w:val="FF0000"/>
          <w:szCs w:val="21"/>
        </w:rPr>
      </w:pPr>
    </w:p>
    <w:p w14:paraId="48876A95">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9、其他信息</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4"/>
        <w:gridCol w:w="7578"/>
      </w:tblGrid>
      <w:tr w14:paraId="7B50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0" w:type="pct"/>
            <w:vAlign w:val="center"/>
          </w:tcPr>
          <w:p w14:paraId="19F4A8ED">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内容明细</w:t>
            </w:r>
          </w:p>
        </w:tc>
        <w:tc>
          <w:tcPr>
            <w:tcW w:w="4099" w:type="pct"/>
            <w:vAlign w:val="center"/>
          </w:tcPr>
          <w:p w14:paraId="4CEC9B6C">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内容说明</w:t>
            </w:r>
          </w:p>
        </w:tc>
      </w:tr>
      <w:tr w14:paraId="5670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Align w:val="center"/>
          </w:tcPr>
          <w:p w14:paraId="0D8E30E0">
            <w:pPr>
              <w:keepNext w:val="0"/>
              <w:keepLines w:val="0"/>
              <w:suppressLineNumbers w:val="0"/>
              <w:spacing w:before="0" w:beforeAutospacing="0" w:after="0" w:afterAutospacing="0"/>
              <w:ind w:left="0" w:right="0"/>
              <w:rPr>
                <w:rFonts w:hint="default" w:ascii="宋体" w:eastAsia="宋体"/>
              </w:rPr>
            </w:pPr>
            <w:r>
              <w:rPr>
                <w:rFonts w:hint="default" w:ascii="宋体" w:hAnsi="宋体"/>
              </w:rPr>
              <w:t>消防维保服务费包含</w:t>
            </w:r>
            <w:r>
              <w:rPr>
                <w:rFonts w:hint="eastAsia" w:ascii="宋体" w:hAnsi="宋体"/>
              </w:rPr>
              <w:t>：</w:t>
            </w:r>
            <w:r>
              <w:rPr>
                <w:rFonts w:hint="default" w:ascii="宋体" w:hAnsi="宋体"/>
              </w:rPr>
              <w:t xml:space="preserve"> </w:t>
            </w:r>
          </w:p>
        </w:tc>
        <w:tc>
          <w:tcPr>
            <w:tcW w:w="4099" w:type="pct"/>
            <w:vAlign w:val="center"/>
          </w:tcPr>
          <w:p w14:paraId="05B40FFB">
            <w:pPr>
              <w:keepNext w:val="0"/>
              <w:keepLines w:val="0"/>
              <w:suppressLineNumbers w:val="0"/>
              <w:spacing w:before="0" w:beforeAutospacing="0" w:after="0" w:afterAutospacing="0"/>
              <w:ind w:left="0" w:right="0"/>
              <w:rPr>
                <w:rFonts w:hint="default" w:ascii="宋体" w:hAnsi="宋体"/>
              </w:rPr>
            </w:pPr>
            <w:r>
              <w:rPr>
                <w:rFonts w:hint="default" w:ascii="宋体" w:hAnsi="宋体"/>
              </w:rPr>
              <w:t xml:space="preserve">（1）消防维保服务费用，包括工具及物耗费用、项目驻点人员工资、加班费、突发性作业费、劳保费、福利费、保险费、风险金、培训费、管理服务费、税费、利润、不可预见费等在项目实施过程中的全部费用； </w:t>
            </w:r>
          </w:p>
          <w:p w14:paraId="7C2480F0">
            <w:pPr>
              <w:keepNext w:val="0"/>
              <w:keepLines w:val="0"/>
              <w:suppressLineNumbers w:val="0"/>
              <w:spacing w:before="0" w:beforeAutospacing="0" w:after="0" w:afterAutospacing="0"/>
              <w:ind w:left="0" w:right="0"/>
              <w:rPr>
                <w:rFonts w:hint="default" w:ascii="宋体" w:hAnsi="宋体"/>
              </w:rPr>
            </w:pPr>
            <w:r>
              <w:rPr>
                <w:rFonts w:hint="default" w:ascii="宋体" w:hAnsi="宋体"/>
              </w:rPr>
              <w:t>（2）</w:t>
            </w:r>
            <w:r>
              <w:rPr>
                <w:rFonts w:hint="eastAsia" w:ascii="宋体" w:hAnsi="宋体"/>
                <w:lang w:eastAsia="zh-CN"/>
              </w:rPr>
              <w:t>简易</w:t>
            </w:r>
            <w:r>
              <w:rPr>
                <w:rFonts w:hint="default" w:ascii="宋体" w:hAnsi="宋体"/>
              </w:rPr>
              <w:t>消防</w:t>
            </w:r>
            <w:r>
              <w:rPr>
                <w:rFonts w:hint="eastAsia" w:ascii="宋体" w:hAnsi="宋体"/>
                <w:lang w:eastAsia="zh-CN"/>
              </w:rPr>
              <w:t>配件故障维修</w:t>
            </w:r>
            <w:r>
              <w:rPr>
                <w:rFonts w:hint="default" w:ascii="宋体" w:hAnsi="宋体"/>
              </w:rPr>
              <w:t>更换费用（包含材料费、工具及物耗费用、人工费、税费等一切费用），</w:t>
            </w:r>
            <w:bookmarkStart w:id="0" w:name="OLE_LINK1"/>
            <w:r>
              <w:rPr>
                <w:rFonts w:hint="eastAsia" w:ascii="宋体" w:hAnsi="宋体"/>
                <w:lang w:eastAsia="zh-CN"/>
              </w:rPr>
              <w:t>简易</w:t>
            </w:r>
            <w:r>
              <w:rPr>
                <w:rFonts w:hint="default" w:ascii="宋体" w:hAnsi="宋体"/>
              </w:rPr>
              <w:t>消防</w:t>
            </w:r>
            <w:r>
              <w:rPr>
                <w:rFonts w:hint="eastAsia" w:ascii="宋体" w:hAnsi="宋体"/>
                <w:lang w:eastAsia="zh-CN"/>
              </w:rPr>
              <w:t>配件故障维修</w:t>
            </w:r>
            <w:r>
              <w:rPr>
                <w:rFonts w:hint="eastAsia" w:ascii="宋体" w:hAnsi="宋体"/>
              </w:rPr>
              <w:t>清单</w:t>
            </w:r>
            <w:bookmarkEnd w:id="0"/>
            <w:r>
              <w:rPr>
                <w:rFonts w:hint="default" w:ascii="宋体" w:hAnsi="宋体"/>
              </w:rPr>
              <w:t>详见附表</w:t>
            </w:r>
            <w:r>
              <w:rPr>
                <w:rFonts w:hint="eastAsia" w:ascii="宋体" w:hAnsi="宋体"/>
                <w:lang w:val="en-US" w:eastAsia="zh-CN"/>
              </w:rPr>
              <w:t>1</w:t>
            </w:r>
            <w:r>
              <w:rPr>
                <w:rFonts w:hint="default" w:ascii="宋体" w:hAnsi="宋体"/>
              </w:rPr>
              <w:t xml:space="preserve">； </w:t>
            </w:r>
          </w:p>
          <w:p w14:paraId="4C2B1FFD">
            <w:pPr>
              <w:keepNext w:val="0"/>
              <w:keepLines w:val="0"/>
              <w:suppressLineNumbers w:val="0"/>
              <w:spacing w:before="0" w:beforeAutospacing="0" w:after="0" w:afterAutospacing="0"/>
              <w:ind w:left="0" w:right="0"/>
              <w:rPr>
                <w:rFonts w:hint="default" w:ascii="宋体" w:hAnsi="宋体"/>
              </w:rPr>
            </w:pPr>
            <w:r>
              <w:rPr>
                <w:rFonts w:hint="default" w:ascii="宋体" w:hAnsi="宋体"/>
              </w:rPr>
              <w:t xml:space="preserve"> </w:t>
            </w:r>
          </w:p>
        </w:tc>
      </w:tr>
    </w:tbl>
    <w:p w14:paraId="022AD9B3">
      <w:pPr>
        <w:rPr>
          <w:rFonts w:asciiTheme="minorEastAsia" w:hAnsiTheme="minorEastAsia"/>
          <w:szCs w:val="21"/>
        </w:rPr>
      </w:pPr>
    </w:p>
    <w:p w14:paraId="6AC23532">
      <w:pPr>
        <w:pStyle w:val="5"/>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10.其他商务需求</w:t>
      </w:r>
    </w:p>
    <w:tbl>
      <w:tblPr>
        <w:tblStyle w:val="16"/>
        <w:tblW w:w="498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4"/>
        <w:gridCol w:w="719"/>
        <w:gridCol w:w="837"/>
        <w:gridCol w:w="6869"/>
      </w:tblGrid>
      <w:tr w14:paraId="02B368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6" w:type="pct"/>
            <w:vAlign w:val="center"/>
          </w:tcPr>
          <w:p w14:paraId="2D93FCDA">
            <w:pPr>
              <w:keepNext w:val="0"/>
              <w:keepLines w:val="0"/>
              <w:suppressLineNumbers w:val="0"/>
              <w:tabs>
                <w:tab w:val="left" w:pos="420"/>
              </w:tabs>
              <w:spacing w:before="0" w:beforeAutospacing="0" w:after="0" w:afterAutospacing="0" w:line="240" w:lineRule="auto"/>
              <w:ind w:left="0" w:right="0"/>
              <w:jc w:val="center"/>
              <w:rPr>
                <w:rFonts w:hint="default"/>
                <w:b/>
                <w:bCs/>
                <w:highlight w:val="none"/>
              </w:rPr>
            </w:pPr>
            <w:r>
              <w:rPr>
                <w:rFonts w:hint="default"/>
                <w:b/>
                <w:bCs/>
                <w:highlight w:val="none"/>
              </w:rPr>
              <w:t>参数性质</w:t>
            </w:r>
          </w:p>
        </w:tc>
        <w:tc>
          <w:tcPr>
            <w:tcW w:w="390" w:type="pct"/>
            <w:vAlign w:val="center"/>
          </w:tcPr>
          <w:p w14:paraId="2CD9FB6E">
            <w:pPr>
              <w:keepNext w:val="0"/>
              <w:keepLines w:val="0"/>
              <w:suppressLineNumbers w:val="0"/>
              <w:spacing w:before="0" w:beforeAutospacing="0" w:after="0" w:afterAutospacing="0" w:line="240" w:lineRule="auto"/>
              <w:ind w:left="0" w:right="0"/>
              <w:jc w:val="center"/>
              <w:rPr>
                <w:rFonts w:hint="default"/>
                <w:b/>
                <w:bCs/>
                <w:highlight w:val="none"/>
              </w:rPr>
            </w:pPr>
            <w:r>
              <w:rPr>
                <w:rFonts w:hint="default"/>
                <w:b/>
                <w:bCs/>
                <w:highlight w:val="none"/>
              </w:rPr>
              <w:t>编号</w:t>
            </w:r>
          </w:p>
        </w:tc>
        <w:tc>
          <w:tcPr>
            <w:tcW w:w="454" w:type="pct"/>
            <w:vAlign w:val="center"/>
          </w:tcPr>
          <w:p w14:paraId="00F585C0">
            <w:pPr>
              <w:keepNext w:val="0"/>
              <w:keepLines w:val="0"/>
              <w:suppressLineNumbers w:val="0"/>
              <w:spacing w:before="0" w:beforeAutospacing="0" w:after="0" w:afterAutospacing="0" w:line="240" w:lineRule="auto"/>
              <w:ind w:left="0" w:right="0"/>
              <w:jc w:val="center"/>
              <w:rPr>
                <w:rFonts w:hint="default"/>
                <w:b/>
                <w:bCs/>
                <w:highlight w:val="none"/>
              </w:rPr>
            </w:pPr>
            <w:r>
              <w:rPr>
                <w:rFonts w:hint="default"/>
                <w:b/>
                <w:bCs/>
                <w:highlight w:val="none"/>
              </w:rPr>
              <w:t>内容明细</w:t>
            </w:r>
          </w:p>
        </w:tc>
        <w:tc>
          <w:tcPr>
            <w:tcW w:w="3728" w:type="pct"/>
            <w:vAlign w:val="center"/>
          </w:tcPr>
          <w:p w14:paraId="55548521">
            <w:pPr>
              <w:keepNext w:val="0"/>
              <w:keepLines w:val="0"/>
              <w:suppressLineNumbers w:val="0"/>
              <w:spacing w:before="0" w:beforeAutospacing="0" w:after="0" w:afterAutospacing="0" w:line="240" w:lineRule="auto"/>
              <w:ind w:left="0" w:right="0"/>
              <w:jc w:val="center"/>
              <w:rPr>
                <w:rFonts w:hint="default"/>
                <w:b/>
                <w:bCs/>
                <w:highlight w:val="none"/>
              </w:rPr>
            </w:pPr>
            <w:r>
              <w:rPr>
                <w:rFonts w:hint="default"/>
                <w:b/>
                <w:bCs/>
                <w:highlight w:val="none"/>
              </w:rPr>
              <w:t>内容说明</w:t>
            </w:r>
          </w:p>
        </w:tc>
      </w:tr>
      <w:tr w14:paraId="553508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6" w:type="pct"/>
            <w:vAlign w:val="center"/>
          </w:tcPr>
          <w:p w14:paraId="153F6E19">
            <w:pPr>
              <w:keepNext w:val="0"/>
              <w:keepLines w:val="0"/>
              <w:suppressLineNumbers w:val="0"/>
              <w:spacing w:before="0" w:beforeAutospacing="0" w:after="0" w:afterAutospacing="0"/>
              <w:ind w:left="0" w:right="0"/>
              <w:jc w:val="center"/>
              <w:rPr>
                <w:rFonts w:hint="default"/>
                <w:highlight w:val="none"/>
              </w:rPr>
            </w:pPr>
          </w:p>
        </w:tc>
        <w:tc>
          <w:tcPr>
            <w:tcW w:w="390" w:type="pct"/>
            <w:vAlign w:val="center"/>
          </w:tcPr>
          <w:p w14:paraId="630D411A">
            <w:pPr>
              <w:keepNext w:val="0"/>
              <w:keepLines w:val="0"/>
              <w:suppressLineNumbers w:val="0"/>
              <w:spacing w:before="0" w:beforeAutospacing="0" w:after="0" w:afterAutospacing="0"/>
              <w:ind w:left="0" w:right="0"/>
              <w:jc w:val="center"/>
              <w:rPr>
                <w:rFonts w:hint="default"/>
                <w:highlight w:val="none"/>
              </w:rPr>
            </w:pPr>
            <w:r>
              <w:rPr>
                <w:rFonts w:hint="eastAsia"/>
                <w:highlight w:val="none"/>
              </w:rPr>
              <w:t>1</w:t>
            </w:r>
          </w:p>
        </w:tc>
        <w:tc>
          <w:tcPr>
            <w:tcW w:w="454" w:type="pct"/>
            <w:vAlign w:val="center"/>
          </w:tcPr>
          <w:p w14:paraId="4FF5C9D5">
            <w:pPr>
              <w:keepNext w:val="0"/>
              <w:keepLines w:val="0"/>
              <w:suppressLineNumbers w:val="0"/>
              <w:spacing w:before="0" w:beforeAutospacing="0" w:after="0" w:afterAutospacing="0"/>
              <w:ind w:left="0" w:right="0"/>
              <w:jc w:val="center"/>
              <w:rPr>
                <w:rFonts w:hint="default"/>
                <w:highlight w:val="none"/>
              </w:rPr>
            </w:pPr>
            <w:r>
              <w:rPr>
                <w:rFonts w:hint="eastAsia"/>
                <w:highlight w:val="none"/>
              </w:rPr>
              <w:t>供应商要求</w:t>
            </w:r>
          </w:p>
        </w:tc>
        <w:tc>
          <w:tcPr>
            <w:tcW w:w="3728" w:type="pct"/>
            <w:vAlign w:val="center"/>
          </w:tcPr>
          <w:p w14:paraId="53E5363D">
            <w:pPr>
              <w:pStyle w:val="7"/>
              <w:keepNext w:val="0"/>
              <w:keepLines w:val="0"/>
              <w:suppressLineNumbers w:val="0"/>
              <w:spacing w:before="0" w:beforeAutospacing="0" w:after="0" w:afterAutospacing="0"/>
              <w:ind w:left="0" w:right="0"/>
              <w:rPr>
                <w:rFonts w:hint="default" w:eastAsiaTheme="minorEastAsia"/>
                <w:highlight w:val="none"/>
              </w:rPr>
            </w:pPr>
            <w:r>
              <w:rPr>
                <w:rFonts w:hint="eastAsia" w:ascii="宋体" w:hAnsi="宋体" w:cs="宋体"/>
                <w:szCs w:val="21"/>
                <w:highlight w:val="none"/>
                <w:lang w:val="zh-CN"/>
              </w:rPr>
              <w:t>供应商自 2020年至今</w:t>
            </w:r>
            <w:r>
              <w:rPr>
                <w:rFonts w:hint="eastAsia" w:ascii="宋体" w:hAnsi="宋体" w:cs="宋体"/>
                <w:szCs w:val="21"/>
                <w:highlight w:val="none"/>
              </w:rPr>
              <w:t>有</w:t>
            </w:r>
            <w:r>
              <w:rPr>
                <w:rFonts w:hint="eastAsia" w:ascii="宋体" w:hAnsi="宋体" w:cs="宋体"/>
                <w:szCs w:val="21"/>
                <w:highlight w:val="none"/>
                <w:lang w:val="zh-CN"/>
              </w:rPr>
              <w:t>承接过的同类项目业绩经验，</w:t>
            </w:r>
            <w:r>
              <w:rPr>
                <w:rFonts w:hint="eastAsia" w:ascii="宋体" w:hAnsi="宋体" w:cs="宋体"/>
                <w:szCs w:val="21"/>
                <w:highlight w:val="none"/>
              </w:rPr>
              <w:t>有评价情况为“满意或类似好评”的满意度评价。</w:t>
            </w:r>
            <w:r>
              <w:rPr>
                <w:rFonts w:hint="eastAsia" w:ascii="宋体" w:hAnsi="宋体" w:cs="宋体"/>
                <w:szCs w:val="21"/>
                <w:highlight w:val="none"/>
                <w:lang w:val="zh-CN"/>
              </w:rPr>
              <w:t>供应商</w:t>
            </w:r>
            <w:r>
              <w:rPr>
                <w:rFonts w:hint="eastAsia" w:ascii="宋体" w:hAnsi="宋体" w:cs="宋体"/>
                <w:szCs w:val="21"/>
                <w:highlight w:val="none"/>
              </w:rPr>
              <w:t>有获得质量管理体系认证证书、环境管理体系认证证书、职业健康安全管理体系认证证书。</w:t>
            </w:r>
          </w:p>
        </w:tc>
      </w:tr>
      <w:tr w14:paraId="28DD58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6" w:type="pct"/>
            <w:vAlign w:val="center"/>
          </w:tcPr>
          <w:p w14:paraId="7C637B15">
            <w:pPr>
              <w:keepNext w:val="0"/>
              <w:keepLines w:val="0"/>
              <w:suppressLineNumbers w:val="0"/>
              <w:spacing w:before="0" w:beforeAutospacing="0" w:after="0" w:afterAutospacing="0"/>
              <w:ind w:left="0" w:right="0"/>
              <w:jc w:val="center"/>
              <w:rPr>
                <w:rFonts w:hint="default"/>
                <w:highlight w:val="none"/>
              </w:rPr>
            </w:pPr>
          </w:p>
        </w:tc>
        <w:tc>
          <w:tcPr>
            <w:tcW w:w="390" w:type="pct"/>
            <w:vAlign w:val="center"/>
          </w:tcPr>
          <w:p w14:paraId="5FD58ABB">
            <w:pPr>
              <w:keepNext w:val="0"/>
              <w:keepLines w:val="0"/>
              <w:suppressLineNumbers w:val="0"/>
              <w:spacing w:before="0" w:beforeAutospacing="0" w:after="0" w:afterAutospacing="0"/>
              <w:ind w:left="0" w:right="0"/>
              <w:jc w:val="center"/>
              <w:rPr>
                <w:rFonts w:hint="default"/>
                <w:highlight w:val="none"/>
              </w:rPr>
            </w:pPr>
            <w:r>
              <w:rPr>
                <w:rFonts w:hint="eastAsia"/>
                <w:highlight w:val="none"/>
              </w:rPr>
              <w:t>2</w:t>
            </w:r>
          </w:p>
        </w:tc>
        <w:tc>
          <w:tcPr>
            <w:tcW w:w="454" w:type="pct"/>
            <w:vAlign w:val="center"/>
          </w:tcPr>
          <w:p w14:paraId="214A1F75">
            <w:pPr>
              <w:keepNext w:val="0"/>
              <w:keepLines w:val="0"/>
              <w:suppressLineNumbers w:val="0"/>
              <w:spacing w:before="0" w:beforeAutospacing="0" w:after="0" w:afterAutospacing="0"/>
              <w:ind w:left="0" w:right="0"/>
              <w:jc w:val="center"/>
              <w:rPr>
                <w:rFonts w:hint="default"/>
                <w:highlight w:val="none"/>
              </w:rPr>
            </w:pPr>
            <w:r>
              <w:rPr>
                <w:rFonts w:hint="eastAsia"/>
                <w:highlight w:val="none"/>
                <w:lang w:eastAsia="zh-CN"/>
              </w:rPr>
              <w:t>报价</w:t>
            </w:r>
            <w:r>
              <w:rPr>
                <w:rFonts w:hint="eastAsia"/>
                <w:highlight w:val="none"/>
              </w:rPr>
              <w:t>要求</w:t>
            </w:r>
          </w:p>
        </w:tc>
        <w:tc>
          <w:tcPr>
            <w:tcW w:w="3728" w:type="pct"/>
            <w:vAlign w:val="center"/>
          </w:tcPr>
          <w:p w14:paraId="14A78008">
            <w:pPr>
              <w:pStyle w:val="7"/>
              <w:keepNext w:val="0"/>
              <w:keepLines w:val="0"/>
              <w:suppressLineNumbers w:val="0"/>
              <w:spacing w:before="0" w:beforeAutospacing="0" w:after="0" w:afterAutospacing="0"/>
              <w:ind w:left="0" w:right="0"/>
              <w:rPr>
                <w:rFonts w:hint="default" w:eastAsiaTheme="minorEastAsia"/>
                <w:highlight w:val="none"/>
              </w:rPr>
            </w:pPr>
            <w:r>
              <w:rPr>
                <w:rFonts w:hint="eastAsia" w:ascii="宋体" w:hAnsi="宋体" w:cs="宋体"/>
                <w:szCs w:val="21"/>
                <w:highlight w:val="none"/>
              </w:rPr>
              <w:t>供应商</w:t>
            </w:r>
            <w:r>
              <w:rPr>
                <w:rFonts w:hint="eastAsia" w:ascii="宋体" w:hAnsi="宋体" w:cs="宋体"/>
                <w:szCs w:val="21"/>
                <w:highlight w:val="none"/>
                <w:lang w:eastAsia="zh-CN"/>
              </w:rPr>
              <w:t>报价</w:t>
            </w:r>
            <w:r>
              <w:rPr>
                <w:rFonts w:hint="eastAsia" w:ascii="宋体" w:hAnsi="宋体" w:cs="宋体"/>
                <w:szCs w:val="21"/>
                <w:highlight w:val="none"/>
              </w:rPr>
              <w:t>时需提供消防设备维护保养实施方案（包括但不限于工作实施的各个阶段、各项工作的服务内容、服务目标、服务时间和进度计划等）。</w:t>
            </w:r>
          </w:p>
        </w:tc>
      </w:tr>
    </w:tbl>
    <w:p w14:paraId="088A6B4B">
      <w:pPr>
        <w:rPr>
          <w:rFonts w:asciiTheme="minorEastAsia" w:hAnsiTheme="minorEastAsia"/>
          <w:szCs w:val="21"/>
          <w:highlight w:val="none"/>
        </w:rPr>
      </w:pPr>
      <w:r>
        <w:rPr>
          <w:rFonts w:hint="eastAsia" w:asciiTheme="minorEastAsia" w:hAnsiTheme="minorEastAsia"/>
          <w:szCs w:val="21"/>
          <w:highlight w:val="none"/>
        </w:rPr>
        <w:br w:type="page"/>
      </w:r>
    </w:p>
    <w:p w14:paraId="328C84D5">
      <w:pPr>
        <w:pStyle w:val="4"/>
        <w:rPr>
          <w:rFonts w:asciiTheme="minorEastAsia" w:hAnsiTheme="minorEastAsia"/>
          <w:sz w:val="21"/>
          <w:szCs w:val="21"/>
        </w:rPr>
      </w:pPr>
      <w:r>
        <w:rPr>
          <w:rFonts w:hint="eastAsia" w:asciiTheme="minorEastAsia" w:hAnsiTheme="minorEastAsia"/>
          <w:sz w:val="21"/>
          <w:szCs w:val="21"/>
        </w:rPr>
        <w:t>（二）技术要求</w:t>
      </w:r>
    </w:p>
    <w:p w14:paraId="4A054D6E">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附表一</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444"/>
        <w:gridCol w:w="8162"/>
      </w:tblGrid>
      <w:tr w14:paraId="4968B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405" w:type="pct"/>
            <w:vAlign w:val="center"/>
          </w:tcPr>
          <w:p w14:paraId="26081DF1">
            <w:pPr>
              <w:keepNext w:val="0"/>
              <w:keepLines w:val="0"/>
              <w:suppressLineNumbers w:val="0"/>
              <w:spacing w:before="0" w:beforeAutospacing="0" w:after="0" w:afterAutospacing="0" w:line="240" w:lineRule="auto"/>
              <w:ind w:left="0" w:right="0"/>
              <w:jc w:val="center"/>
              <w:rPr>
                <w:rFonts w:hint="default" w:asciiTheme="minorEastAsia" w:hAnsiTheme="minorEastAsia"/>
                <w:b/>
                <w:szCs w:val="21"/>
              </w:rPr>
            </w:pPr>
            <w:r>
              <w:rPr>
                <w:rFonts w:hint="eastAsia" w:asciiTheme="minorEastAsia" w:hAnsiTheme="minorEastAsia"/>
                <w:b/>
                <w:szCs w:val="21"/>
              </w:rPr>
              <w:t>参数性质</w:t>
            </w:r>
          </w:p>
        </w:tc>
        <w:tc>
          <w:tcPr>
            <w:tcW w:w="303" w:type="pct"/>
            <w:vAlign w:val="center"/>
          </w:tcPr>
          <w:p w14:paraId="76EFFD38">
            <w:pPr>
              <w:keepNext w:val="0"/>
              <w:keepLines w:val="0"/>
              <w:suppressLineNumbers w:val="0"/>
              <w:spacing w:before="0" w:beforeAutospacing="0" w:after="0" w:afterAutospacing="0" w:line="240" w:lineRule="auto"/>
              <w:ind w:left="0" w:right="0"/>
              <w:jc w:val="center"/>
              <w:rPr>
                <w:rFonts w:hint="default" w:asciiTheme="minorEastAsia" w:hAnsiTheme="minorEastAsia"/>
                <w:b/>
                <w:szCs w:val="21"/>
              </w:rPr>
            </w:pPr>
            <w:r>
              <w:rPr>
                <w:rFonts w:hint="eastAsia" w:asciiTheme="minorEastAsia" w:hAnsiTheme="minorEastAsia"/>
                <w:b/>
                <w:szCs w:val="21"/>
              </w:rPr>
              <w:t>序号</w:t>
            </w:r>
          </w:p>
        </w:tc>
        <w:tc>
          <w:tcPr>
            <w:tcW w:w="4291" w:type="pct"/>
            <w:vAlign w:val="center"/>
          </w:tcPr>
          <w:p w14:paraId="465F3D1E">
            <w:pPr>
              <w:keepNext w:val="0"/>
              <w:keepLines w:val="0"/>
              <w:suppressLineNumbers w:val="0"/>
              <w:spacing w:before="0" w:beforeAutospacing="0" w:after="0" w:afterAutospacing="0" w:line="240" w:lineRule="auto"/>
              <w:ind w:left="0" w:right="0"/>
              <w:jc w:val="center"/>
              <w:rPr>
                <w:rFonts w:hint="default" w:asciiTheme="minorEastAsia" w:hAnsiTheme="minorEastAsia"/>
                <w:b/>
                <w:szCs w:val="21"/>
              </w:rPr>
            </w:pPr>
            <w:r>
              <w:rPr>
                <w:rFonts w:hint="eastAsia" w:asciiTheme="minorEastAsia" w:hAnsiTheme="minorEastAsia"/>
                <w:b/>
                <w:szCs w:val="21"/>
              </w:rPr>
              <w:t>具体技术（参数）要求</w:t>
            </w:r>
          </w:p>
        </w:tc>
      </w:tr>
      <w:tr w14:paraId="2308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5" w:type="pct"/>
            <w:vAlign w:val="center"/>
          </w:tcPr>
          <w:p w14:paraId="78C96B6E">
            <w:pPr>
              <w:keepNext w:val="0"/>
              <w:keepLines w:val="0"/>
              <w:suppressLineNumbers w:val="0"/>
              <w:spacing w:before="0" w:beforeAutospacing="0" w:after="0" w:afterAutospacing="0"/>
              <w:ind w:left="0" w:right="0"/>
              <w:jc w:val="center"/>
              <w:rPr>
                <w:rFonts w:hint="default" w:asciiTheme="minorEastAsia" w:hAnsiTheme="minorEastAsia"/>
                <w:color w:val="FF0000"/>
                <w:szCs w:val="21"/>
              </w:rPr>
            </w:pPr>
          </w:p>
        </w:tc>
        <w:tc>
          <w:tcPr>
            <w:tcW w:w="303" w:type="pct"/>
            <w:vAlign w:val="center"/>
          </w:tcPr>
          <w:p w14:paraId="51B8FCE7">
            <w:pPr>
              <w:pStyle w:val="36"/>
              <w:keepNext w:val="0"/>
              <w:keepLines w:val="0"/>
              <w:suppressLineNumbers w:val="0"/>
              <w:spacing w:before="0" w:beforeAutospacing="0" w:after="0" w:afterAutospacing="0"/>
              <w:ind w:left="49" w:right="0" w:firstLine="0"/>
              <w:jc w:val="center"/>
              <w:rPr>
                <w:rFonts w:hint="default" w:asciiTheme="minorEastAsia" w:hAnsiTheme="minorEastAsia" w:eastAsiaTheme="minorEastAsia"/>
                <w:sz w:val="21"/>
                <w:szCs w:val="21"/>
              </w:rPr>
            </w:pPr>
            <w:r>
              <w:rPr>
                <w:rFonts w:hint="eastAsia" w:asciiTheme="minorEastAsia" w:hAnsiTheme="minorEastAsia" w:eastAsiaTheme="minorEastAsia"/>
                <w:sz w:val="21"/>
                <w:szCs w:val="21"/>
              </w:rPr>
              <w:t>1</w:t>
            </w:r>
          </w:p>
        </w:tc>
        <w:tc>
          <w:tcPr>
            <w:tcW w:w="4291" w:type="pct"/>
            <w:vAlign w:val="center"/>
          </w:tcPr>
          <w:p w14:paraId="1CA3912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eastAsia" w:asciiTheme="minorEastAsia" w:hAnsiTheme="minorEastAsia" w:eastAsiaTheme="minorEastAsia"/>
                <w:b/>
                <w:bCs/>
                <w:sz w:val="21"/>
                <w:szCs w:val="21"/>
              </w:rPr>
              <w:t>一</w:t>
            </w:r>
            <w:r>
              <w:rPr>
                <w:rFonts w:hint="default" w:asciiTheme="minorEastAsia" w:hAnsiTheme="minorEastAsia" w:eastAsiaTheme="minorEastAsia"/>
                <w:b/>
                <w:bCs/>
                <w:sz w:val="21"/>
                <w:szCs w:val="21"/>
              </w:rPr>
              <w:t>、服务要求</w:t>
            </w:r>
          </w:p>
          <w:p w14:paraId="3BB97F5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default" w:asciiTheme="minorEastAsia" w:hAnsiTheme="minorEastAsia" w:eastAsiaTheme="minorEastAsia"/>
                <w:b/>
                <w:bCs/>
                <w:sz w:val="21"/>
                <w:szCs w:val="21"/>
              </w:rPr>
              <w:t>（一）质量要求</w:t>
            </w:r>
          </w:p>
          <w:p w14:paraId="3CED9BF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1.必须按照国家、省、市现行的有关消防设备保养维护质量标准及规范，对服务范围内的消防设备定期进行全面检测维修、保养和调试，对老化、损坏、故障的</w:t>
            </w:r>
            <w:r>
              <w:rPr>
                <w:rFonts w:hint="eastAsia" w:asciiTheme="minorEastAsia" w:hAnsiTheme="minorEastAsia" w:eastAsiaTheme="minorEastAsia"/>
                <w:sz w:val="21"/>
                <w:szCs w:val="21"/>
                <w:lang w:eastAsia="zh-CN"/>
              </w:rPr>
              <w:t>零配件</w:t>
            </w:r>
            <w:r>
              <w:rPr>
                <w:rFonts w:hint="default" w:asciiTheme="minorEastAsia" w:hAnsiTheme="minorEastAsia" w:eastAsiaTheme="minorEastAsia"/>
                <w:sz w:val="21"/>
                <w:szCs w:val="21"/>
              </w:rPr>
              <w:t>要及时彻底进行维修、更换，保证采购人消防设施设备正常使用，确保设备能良好运作。</w:t>
            </w:r>
          </w:p>
          <w:p w14:paraId="4B360A46">
            <w:pPr>
              <w:pStyle w:val="36"/>
              <w:keepNext w:val="0"/>
              <w:keepLines w:val="0"/>
              <w:suppressLineNumbers w:val="0"/>
              <w:spacing w:before="0" w:beforeAutospacing="0" w:after="0" w:afterAutospacing="0"/>
              <w:ind w:left="0" w:right="0" w:firstLine="0"/>
              <w:rPr>
                <w:rFonts w:hint="default"/>
                <w:sz w:val="21"/>
                <w:szCs w:val="21"/>
              </w:rPr>
            </w:pPr>
            <w:r>
              <w:rPr>
                <w:rFonts w:hint="eastAsia" w:hAnsi="宋体"/>
                <w:sz w:val="21"/>
                <w:szCs w:val="21"/>
              </w:rPr>
              <w:t>2.★成交供应商派出的驻院服务人员资质要</w:t>
            </w:r>
            <w:r>
              <w:rPr>
                <w:rFonts w:hint="eastAsia" w:hAnsi="宋体"/>
                <w:sz w:val="21"/>
                <w:szCs w:val="21"/>
                <w:highlight w:val="none"/>
              </w:rPr>
              <w:t>求：必须持有消</w:t>
            </w:r>
            <w:r>
              <w:rPr>
                <w:rFonts w:hint="eastAsia" w:hAnsi="宋体"/>
                <w:sz w:val="21"/>
                <w:szCs w:val="21"/>
              </w:rPr>
              <w:t>防部门认可的有效证件，具有国家消防主管部门颁发的“建（构）筑物消防员或消防设施操作员中级</w:t>
            </w:r>
            <w:r>
              <w:rPr>
                <w:rStyle w:val="22"/>
                <w:rFonts w:hint="default"/>
              </w:rPr>
              <w:t>或以上</w:t>
            </w:r>
            <w:r>
              <w:rPr>
                <w:rFonts w:hint="eastAsia" w:hAnsi="宋体"/>
                <w:sz w:val="21"/>
                <w:szCs w:val="21"/>
              </w:rPr>
              <w:t>证书”，能独立操作</w:t>
            </w:r>
            <w:r>
              <w:rPr>
                <w:rFonts w:hint="eastAsia" w:hAnsi="宋体"/>
                <w:sz w:val="21"/>
                <w:szCs w:val="21"/>
                <w:lang w:eastAsia="zh-CN"/>
              </w:rPr>
              <w:t>（提供</w:t>
            </w:r>
            <w:r>
              <w:rPr>
                <w:rFonts w:hint="eastAsia" w:hAnsi="宋体"/>
                <w:sz w:val="21"/>
                <w:szCs w:val="21"/>
                <w:lang w:val="en-US" w:eastAsia="zh-CN"/>
              </w:rPr>
              <w:t>6名驻场维保人员清单、证书、近半年任意一个月社保证明或提供承诺函，承诺为本项目提供6名驻场维保人员，且均具有消防部门认可的有效证件</w:t>
            </w:r>
            <w:r>
              <w:rPr>
                <w:rFonts w:hint="eastAsia" w:hAnsi="宋体"/>
                <w:sz w:val="21"/>
                <w:szCs w:val="21"/>
                <w:lang w:eastAsia="zh-CN"/>
              </w:rPr>
              <w:t>）。</w:t>
            </w:r>
          </w:p>
          <w:p w14:paraId="5964D741">
            <w:pPr>
              <w:pStyle w:val="36"/>
              <w:keepNext w:val="0"/>
              <w:keepLines w:val="0"/>
              <w:suppressLineNumbers w:val="0"/>
              <w:spacing w:before="0" w:beforeAutospacing="0" w:after="0" w:afterAutospacing="0"/>
              <w:ind w:left="0" w:right="0" w:firstLine="0"/>
              <w:rPr>
                <w:rFonts w:hint="default"/>
              </w:rPr>
            </w:pPr>
            <w:r>
              <w:rPr>
                <w:rFonts w:hint="default"/>
                <w:sz w:val="21"/>
                <w:szCs w:val="21"/>
              </w:rPr>
              <w:t>3.驻院服务人员应具备丰富的综合职业技能：</w:t>
            </w:r>
            <w:r>
              <w:rPr>
                <w:rFonts w:hint="eastAsia" w:hAnsi="宋体"/>
                <w:sz w:val="21"/>
                <w:szCs w:val="21"/>
              </w:rPr>
              <w:t>持有有效的</w:t>
            </w:r>
            <w:r>
              <w:rPr>
                <w:rFonts w:hint="default" w:hAnsi="宋体"/>
                <w:spacing w:val="12"/>
                <w:sz w:val="21"/>
                <w:szCs w:val="21"/>
              </w:rPr>
              <w:t>一级注册消防工程师</w:t>
            </w:r>
            <w:r>
              <w:rPr>
                <w:rFonts w:hint="default" w:hAnsi="宋体"/>
                <w:sz w:val="21"/>
                <w:szCs w:val="21"/>
              </w:rPr>
              <w:t>或</w:t>
            </w:r>
            <w:r>
              <w:rPr>
                <w:rFonts w:hint="eastAsia" w:hAnsi="宋体"/>
                <w:sz w:val="21"/>
                <w:szCs w:val="21"/>
              </w:rPr>
              <w:t>电工证或</w:t>
            </w:r>
            <w:r>
              <w:rPr>
                <w:rFonts w:hint="default" w:hAnsi="宋体"/>
                <w:sz w:val="21"/>
                <w:szCs w:val="21"/>
              </w:rPr>
              <w:t>焊工特种作业证</w:t>
            </w:r>
            <w:r>
              <w:rPr>
                <w:rFonts w:hint="eastAsia" w:hAnsi="宋体"/>
                <w:sz w:val="21"/>
                <w:szCs w:val="21"/>
              </w:rPr>
              <w:t>或</w:t>
            </w:r>
            <w:r>
              <w:rPr>
                <w:rFonts w:hint="default" w:hAnsi="宋体"/>
                <w:sz w:val="21"/>
                <w:szCs w:val="21"/>
              </w:rPr>
              <w:t>登高作业证等，能够快速处置多种环境下的设备设施故障。</w:t>
            </w:r>
          </w:p>
          <w:p w14:paraId="36A1D25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4.★在服务期内，</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在</w:t>
            </w:r>
            <w:r>
              <w:rPr>
                <w:rFonts w:hint="eastAsia" w:asciiTheme="minorEastAsia" w:hAnsiTheme="minorEastAsia" w:eastAsiaTheme="minorEastAsia"/>
                <w:sz w:val="21"/>
                <w:szCs w:val="21"/>
                <w:lang w:eastAsia="zh-CN"/>
              </w:rPr>
              <w:t>广州医科大学附属番禺中心医院</w:t>
            </w:r>
            <w:r>
              <w:rPr>
                <w:rFonts w:hint="default" w:asciiTheme="minorEastAsia" w:hAnsiTheme="minorEastAsia" w:eastAsiaTheme="minorEastAsia"/>
                <w:sz w:val="21"/>
                <w:szCs w:val="21"/>
              </w:rPr>
              <w:t>本部设有驻院维保人员，驻场维保人员总人数不得少于6名，采用24小时轮班制，节假日照常值班。采购人有权对驻院人员的资质进行审定，对不符合要求的维保服务人员</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应及时调换。采购人不提供驻院服务人员的办公、住宿场所，由此所产生的全部费用由</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承担（提供承诺函）。</w:t>
            </w:r>
          </w:p>
          <w:p w14:paraId="15EB918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5.在服务期内，如消防设施设备发生故障，</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应立即</w:t>
            </w:r>
            <w:r>
              <w:rPr>
                <w:rFonts w:hint="eastAsia" w:asciiTheme="minorEastAsia" w:hAnsiTheme="minorEastAsia" w:eastAsiaTheme="minorEastAsia"/>
                <w:sz w:val="21"/>
                <w:szCs w:val="21"/>
                <w:lang w:eastAsia="zh-CN"/>
              </w:rPr>
              <w:t>应急</w:t>
            </w:r>
            <w:r>
              <w:rPr>
                <w:rFonts w:hint="default" w:asciiTheme="minorEastAsia" w:hAnsiTheme="minorEastAsia" w:eastAsiaTheme="minorEastAsia"/>
                <w:sz w:val="21"/>
                <w:szCs w:val="21"/>
              </w:rPr>
              <w:t>处理并告知采购人主管部门。</w:t>
            </w:r>
          </w:p>
          <w:p w14:paraId="3B3C796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6.在服务期内，</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必须储备有足够的主要备件和易耗备件。如需要更换或增设各类配件时，</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应及时通知采购人，采购人同意更换的，</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做好增设或更换记录，交采购人审核及验收确认。</w:t>
            </w:r>
          </w:p>
          <w:p w14:paraId="5D5CF63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eastAsia" w:asciiTheme="minorEastAsia" w:hAnsiTheme="minorEastAsia" w:eastAsiaTheme="minorEastAsia"/>
                <w:sz w:val="21"/>
                <w:szCs w:val="21"/>
                <w:lang w:val="en-US" w:eastAsia="zh-CN"/>
              </w:rPr>
              <w:t>7</w:t>
            </w:r>
            <w:r>
              <w:rPr>
                <w:rFonts w:hint="default" w:asciiTheme="minorEastAsia" w:hAnsiTheme="minorEastAsia" w:eastAsiaTheme="minorEastAsia"/>
                <w:sz w:val="21"/>
                <w:szCs w:val="21"/>
              </w:rPr>
              <w:t>.</w:t>
            </w:r>
            <w:r>
              <w:rPr>
                <w:rFonts w:hint="eastAsia" w:asciiTheme="minorEastAsia" w:hAnsiTheme="minorEastAsia" w:eastAsiaTheme="minorEastAsia"/>
                <w:sz w:val="21"/>
                <w:szCs w:val="21"/>
                <w:lang w:eastAsia="zh-CN"/>
              </w:rPr>
              <w:t>简易</w:t>
            </w:r>
            <w:r>
              <w:rPr>
                <w:rFonts w:hint="default" w:asciiTheme="minorEastAsia" w:hAnsiTheme="minorEastAsia" w:eastAsiaTheme="minorEastAsia"/>
                <w:sz w:val="21"/>
                <w:szCs w:val="21"/>
              </w:rPr>
              <w:t>消防</w:t>
            </w:r>
            <w:r>
              <w:rPr>
                <w:rFonts w:hint="eastAsia" w:asciiTheme="minorEastAsia" w:hAnsiTheme="minorEastAsia" w:eastAsiaTheme="minorEastAsia"/>
                <w:sz w:val="21"/>
                <w:szCs w:val="21"/>
                <w:lang w:eastAsia="zh-CN"/>
              </w:rPr>
              <w:t>配件</w:t>
            </w:r>
            <w:r>
              <w:rPr>
                <w:rFonts w:hint="default" w:asciiTheme="minorEastAsia" w:hAnsiTheme="minorEastAsia" w:eastAsiaTheme="minorEastAsia"/>
                <w:sz w:val="21"/>
                <w:szCs w:val="21"/>
              </w:rPr>
              <w:t>更换费用由</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承担，</w:t>
            </w:r>
            <w:r>
              <w:rPr>
                <w:rFonts w:hint="eastAsia" w:asciiTheme="minorEastAsia" w:hAnsiTheme="minorEastAsia" w:eastAsiaTheme="minorEastAsia"/>
                <w:sz w:val="21"/>
                <w:szCs w:val="21"/>
                <w:lang w:val="en-US" w:eastAsia="zh-CN"/>
              </w:rPr>
              <w:t>不单独结算。</w:t>
            </w:r>
            <w:r>
              <w:rPr>
                <w:rFonts w:hint="default" w:asciiTheme="minorEastAsia" w:hAnsiTheme="minorEastAsia" w:eastAsiaTheme="minorEastAsia"/>
                <w:sz w:val="21"/>
                <w:szCs w:val="21"/>
              </w:rPr>
              <w:t>具体清单内容见附表</w:t>
            </w:r>
            <w:r>
              <w:rPr>
                <w:rFonts w:hint="eastAsia" w:asciiTheme="minorEastAsia" w:hAnsiTheme="minorEastAsia" w:eastAsiaTheme="minorEastAsia"/>
                <w:sz w:val="21"/>
                <w:szCs w:val="21"/>
                <w:lang w:val="en-US" w:eastAsia="zh-CN"/>
              </w:rPr>
              <w:t>1</w:t>
            </w:r>
            <w:r>
              <w:rPr>
                <w:rFonts w:hint="default" w:asciiTheme="minorEastAsia" w:hAnsiTheme="minorEastAsia" w:eastAsiaTheme="minorEastAsia"/>
                <w:sz w:val="21"/>
                <w:szCs w:val="21"/>
              </w:rPr>
              <w:t>。</w:t>
            </w:r>
          </w:p>
          <w:p w14:paraId="54F802D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eastAsia" w:asciiTheme="minorEastAsia" w:hAnsiTheme="minorEastAsia" w:eastAsiaTheme="minorEastAsia"/>
                <w:sz w:val="21"/>
                <w:szCs w:val="21"/>
                <w:lang w:val="en-US" w:eastAsia="zh-CN"/>
              </w:rPr>
              <w:t>8</w:t>
            </w:r>
            <w:r>
              <w:rPr>
                <w:rFonts w:hint="default" w:asciiTheme="minorEastAsia" w:hAnsiTheme="minorEastAsia" w:eastAsiaTheme="minorEastAsia"/>
                <w:sz w:val="21"/>
                <w:szCs w:val="21"/>
              </w:rPr>
              <w:t>.消防系统所有设施设备包括灭火器、消火栓、控制电柜等的保养、内部清洁卫生由</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负责，</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必须定期维护保养、清洁，保持无锈、无垢、无渍、无尘。</w:t>
            </w:r>
          </w:p>
          <w:p w14:paraId="7481A3F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eastAsia" w:asciiTheme="minorEastAsia" w:hAnsiTheme="minorEastAsia" w:eastAsiaTheme="minorEastAsia"/>
                <w:sz w:val="21"/>
                <w:szCs w:val="21"/>
                <w:lang w:val="en-US" w:eastAsia="zh-CN"/>
              </w:rPr>
              <w:t>9</w:t>
            </w:r>
            <w:r>
              <w:rPr>
                <w:rFonts w:hint="default" w:asciiTheme="minorEastAsia" w:hAnsiTheme="minorEastAsia" w:eastAsiaTheme="minorEastAsia"/>
                <w:sz w:val="21"/>
                <w:szCs w:val="21"/>
              </w:rPr>
              <w:t>.</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必须根据维修保养内容的要求，制定具体量化计划，严格按照计划组织实施，并作好设备配件检查及维修更换记录，列明系统设施设备的运行情况</w:t>
            </w:r>
            <w:r>
              <w:rPr>
                <w:rFonts w:hint="eastAsia" w:asciiTheme="minorEastAsia" w:hAnsiTheme="minorEastAsia" w:eastAsiaTheme="minorEastAsia"/>
                <w:sz w:val="21"/>
                <w:szCs w:val="21"/>
                <w:lang w:eastAsia="zh-CN"/>
              </w:rPr>
              <w:t>，</w:t>
            </w:r>
            <w:r>
              <w:rPr>
                <w:rFonts w:hint="default" w:asciiTheme="minorEastAsia" w:hAnsiTheme="minorEastAsia" w:eastAsiaTheme="minorEastAsia"/>
                <w:sz w:val="21"/>
                <w:szCs w:val="21"/>
              </w:rPr>
              <w:t>、故障原因、处理结果、配件增设及更换情况，所有维护保养记录资料要分类登记、保存在资料柜，保养期满必须完整交回采购人。</w:t>
            </w:r>
          </w:p>
          <w:p w14:paraId="6110A95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eastAsia" w:asciiTheme="minorEastAsia" w:hAnsiTheme="minorEastAsia" w:eastAsiaTheme="minorEastAsia"/>
                <w:sz w:val="21"/>
                <w:szCs w:val="21"/>
                <w:lang w:val="en-US" w:eastAsia="zh-CN"/>
              </w:rPr>
              <w:t>10</w:t>
            </w:r>
            <w:r>
              <w:rPr>
                <w:rFonts w:hint="default" w:asciiTheme="minorEastAsia" w:hAnsiTheme="minorEastAsia" w:eastAsiaTheme="minorEastAsia"/>
                <w:sz w:val="21"/>
                <w:szCs w:val="21"/>
              </w:rPr>
              <w:t>.如采购人有特殊情况，临时需要</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增派人员对消防系统进行检查或测试时，</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必须积极配合采购人工作需要，按要求增派人员到现场完成相关工作。</w:t>
            </w:r>
          </w:p>
          <w:p w14:paraId="180DFA7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eastAsia" w:asciiTheme="minorEastAsia" w:hAnsiTheme="minorEastAsia" w:eastAsiaTheme="minorEastAsia"/>
                <w:sz w:val="21"/>
                <w:szCs w:val="21"/>
                <w:lang w:val="en-US" w:eastAsia="zh-CN"/>
              </w:rPr>
              <w:t>11</w:t>
            </w:r>
            <w:r>
              <w:rPr>
                <w:rFonts w:hint="default" w:asciiTheme="minorEastAsia" w:hAnsiTheme="minorEastAsia" w:eastAsiaTheme="minorEastAsia"/>
                <w:sz w:val="21"/>
                <w:szCs w:val="21"/>
              </w:rPr>
              <w:t>.保养期满，</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必须将所有保养设备完好运作正常地交回采购人。</w:t>
            </w:r>
          </w:p>
          <w:p w14:paraId="3A7AA5B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w:t>
            </w:r>
            <w:r>
              <w:rPr>
                <w:rFonts w:hint="eastAsia" w:asciiTheme="minorEastAsia" w:hAnsiTheme="minorEastAsia" w:eastAsiaTheme="minorEastAsia"/>
                <w:sz w:val="21"/>
                <w:szCs w:val="21"/>
                <w:lang w:val="en-US" w:eastAsia="zh-CN"/>
              </w:rPr>
              <w:t>2</w:t>
            </w:r>
            <w:r>
              <w:rPr>
                <w:rFonts w:hint="default" w:asciiTheme="minorEastAsia" w:hAnsiTheme="minorEastAsia" w:eastAsiaTheme="minorEastAsia"/>
                <w:sz w:val="21"/>
                <w:szCs w:val="21"/>
              </w:rPr>
              <w:t>.</w:t>
            </w:r>
            <w:r>
              <w:rPr>
                <w:rFonts w:hint="eastAsia" w:asciiTheme="minorEastAsia" w:hAnsiTheme="minorEastAsia" w:eastAsiaTheme="minorEastAsia"/>
                <w:sz w:val="21"/>
                <w:szCs w:val="21"/>
              </w:rPr>
              <w:t>供应商</w:t>
            </w:r>
            <w:r>
              <w:rPr>
                <w:rFonts w:hint="default" w:asciiTheme="minorEastAsia" w:hAnsiTheme="minorEastAsia" w:eastAsiaTheme="minorEastAsia"/>
                <w:sz w:val="21"/>
                <w:szCs w:val="21"/>
              </w:rPr>
              <w:t>须在中标后将公司和从业人员的基本信息，以及本项目服务情况按照上级部门要求录入社会单位消防管理系统。</w:t>
            </w:r>
          </w:p>
          <w:p w14:paraId="3F626F2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w:t>
            </w:r>
            <w:r>
              <w:rPr>
                <w:rFonts w:hint="eastAsia" w:asciiTheme="minorEastAsia" w:hAnsiTheme="minorEastAsia" w:eastAsiaTheme="minorEastAsia"/>
                <w:sz w:val="21"/>
                <w:szCs w:val="21"/>
                <w:lang w:val="en-US" w:eastAsia="zh-CN"/>
              </w:rPr>
              <w:t>3</w:t>
            </w:r>
            <w:r>
              <w:rPr>
                <w:rFonts w:hint="default" w:asciiTheme="minorEastAsia" w:hAnsiTheme="minorEastAsia" w:eastAsiaTheme="minorEastAsia"/>
                <w:sz w:val="21"/>
                <w:szCs w:val="21"/>
              </w:rPr>
              <w:t>.</w:t>
            </w:r>
            <w:r>
              <w:rPr>
                <w:rFonts w:hint="eastAsia" w:asciiTheme="minorEastAsia" w:hAnsiTheme="minorEastAsia" w:eastAsiaTheme="minorEastAsia"/>
                <w:sz w:val="21"/>
                <w:szCs w:val="21"/>
                <w:highlight w:val="none"/>
              </w:rPr>
              <w:t>成交供应商</w:t>
            </w:r>
            <w:r>
              <w:rPr>
                <w:rFonts w:hint="default" w:asciiTheme="minorEastAsia" w:hAnsiTheme="minorEastAsia" w:eastAsiaTheme="minorEastAsia"/>
                <w:sz w:val="21"/>
                <w:szCs w:val="21"/>
                <w:highlight w:val="none"/>
              </w:rPr>
              <w:t>须无条件配合采购人的建筑区域的消防改造，消防系统编码、测试等工作，费用已包含在</w:t>
            </w:r>
            <w:r>
              <w:rPr>
                <w:rFonts w:hint="eastAsia" w:asciiTheme="minorEastAsia" w:hAnsiTheme="minorEastAsia" w:eastAsiaTheme="minorEastAsia"/>
                <w:sz w:val="21"/>
                <w:szCs w:val="21"/>
                <w:highlight w:val="none"/>
                <w:lang w:eastAsia="zh-CN"/>
              </w:rPr>
              <w:t>报价</w:t>
            </w:r>
            <w:r>
              <w:rPr>
                <w:rFonts w:hint="default" w:asciiTheme="minorEastAsia" w:hAnsiTheme="minorEastAsia" w:eastAsiaTheme="minorEastAsia"/>
                <w:sz w:val="21"/>
                <w:szCs w:val="21"/>
                <w:highlight w:val="none"/>
              </w:rPr>
              <w:t>报价中，采购人不另作补偿</w:t>
            </w:r>
            <w:r>
              <w:rPr>
                <w:rFonts w:hint="eastAsia" w:asciiTheme="minorEastAsia" w:hAnsiTheme="minorEastAsia" w:eastAsiaTheme="minorEastAsia"/>
                <w:sz w:val="21"/>
                <w:szCs w:val="21"/>
                <w:highlight w:val="none"/>
              </w:rPr>
              <w:t>。</w:t>
            </w:r>
          </w:p>
          <w:p w14:paraId="793E8BA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p>
          <w:p w14:paraId="29324DD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default" w:asciiTheme="minorEastAsia" w:hAnsiTheme="minorEastAsia" w:eastAsiaTheme="minorEastAsia"/>
                <w:b/>
                <w:bCs/>
                <w:sz w:val="21"/>
                <w:szCs w:val="21"/>
              </w:rPr>
              <w:t>（二）消防设备维护保养要求</w:t>
            </w:r>
          </w:p>
          <w:p w14:paraId="2DF61D7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1.火灾自动报警与消防联动控制系统</w:t>
            </w:r>
          </w:p>
          <w:p w14:paraId="479F5FB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2.消火栓、自动喷淋灭火系统</w:t>
            </w:r>
          </w:p>
          <w:p w14:paraId="65803EA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3.防火卷帘系统</w:t>
            </w:r>
          </w:p>
          <w:p w14:paraId="47D44DF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4.防火门系统</w:t>
            </w:r>
          </w:p>
          <w:p w14:paraId="5A5A943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5.消防通风和防排烟系统</w:t>
            </w:r>
          </w:p>
          <w:p w14:paraId="7E0F032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6.消防电梯</w:t>
            </w:r>
          </w:p>
          <w:p w14:paraId="3127F6A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7.消防水泵系统</w:t>
            </w:r>
          </w:p>
          <w:p w14:paraId="1DF0CF8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8.消防事故广播系统</w:t>
            </w:r>
          </w:p>
          <w:p w14:paraId="6692FCF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9.消防电话系统</w:t>
            </w:r>
          </w:p>
          <w:p w14:paraId="127BF8B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10.气体灭火系统</w:t>
            </w:r>
          </w:p>
          <w:p w14:paraId="0AA5DF3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11.应急疏散指示系统</w:t>
            </w:r>
          </w:p>
          <w:p w14:paraId="20E2B98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12.其他的消防设施保养：按国家、省、市现行消防设备保养维修质量标准及规范。</w:t>
            </w:r>
          </w:p>
          <w:p w14:paraId="0BC363F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13.测试检查的相关要求</w:t>
            </w:r>
          </w:p>
          <w:p w14:paraId="0C6C5D3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（1）烟温感、手动报警按钮设备每月测试数量不少于总量的10%，并达到每年轮测一遍。</w:t>
            </w:r>
          </w:p>
          <w:p w14:paraId="5C0C9FA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lang w:eastAsia="zh-CN"/>
              </w:rPr>
              <w:t>（</w:t>
            </w:r>
            <w:r>
              <w:rPr>
                <w:rFonts w:hint="default" w:asciiTheme="minorEastAsia" w:hAnsiTheme="minorEastAsia" w:eastAsiaTheme="minorEastAsia"/>
                <w:sz w:val="21"/>
                <w:szCs w:val="21"/>
                <w:lang w:val="en-US" w:eastAsia="zh-CN"/>
              </w:rPr>
              <w:t>2</w:t>
            </w:r>
            <w:r>
              <w:rPr>
                <w:rFonts w:hint="eastAsia" w:asciiTheme="minorEastAsia" w:hAnsiTheme="minorEastAsia" w:eastAsiaTheme="minorEastAsia"/>
                <w:sz w:val="21"/>
                <w:szCs w:val="21"/>
                <w:lang w:val="en-US" w:eastAsia="zh-CN"/>
              </w:rPr>
              <w:t>）消火栓每月检测一次。</w:t>
            </w:r>
          </w:p>
          <w:p w14:paraId="3E62F43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（2）特殊检查：重大节假日(元旦、春节、五一、国庆)前一个星期内，对主要设备巡视一次，发现问题及时</w:t>
            </w:r>
            <w:r>
              <w:rPr>
                <w:rFonts w:hint="eastAsia" w:asciiTheme="minorEastAsia" w:hAnsiTheme="minorEastAsia" w:eastAsiaTheme="minorEastAsia"/>
                <w:sz w:val="21"/>
                <w:szCs w:val="21"/>
                <w:lang w:eastAsia="zh-CN"/>
              </w:rPr>
              <w:t>上报</w:t>
            </w:r>
            <w:r>
              <w:rPr>
                <w:rFonts w:hint="default" w:asciiTheme="minorEastAsia" w:hAnsiTheme="minorEastAsia" w:eastAsiaTheme="minorEastAsia"/>
                <w:sz w:val="21"/>
                <w:szCs w:val="21"/>
              </w:rPr>
              <w:t>。</w:t>
            </w:r>
          </w:p>
          <w:p w14:paraId="67FF7E0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（3）维保报告：</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每月检测维保后，必须向采购人提交符合采购人要求的消防维保报告，报告内容中必须包含（但不限于）检查内容、数量及其区域等，</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必须在下月5号前向采购人呈交一份当月的维修保养报告。如果发现</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未执行本合同及保养计划，</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必须按保养计划对未执行项目重新检查及处理，在规定保养时间内完成该部份保养计划内容后予以确认。如在维修保养过程中</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发现系统或设备存在隐患，</w:t>
            </w:r>
            <w:r>
              <w:rPr>
                <w:rFonts w:hint="eastAsia" w:asciiTheme="minorEastAsia" w:hAnsiTheme="minorEastAsia" w:eastAsiaTheme="minorEastAsia"/>
                <w:sz w:val="21"/>
                <w:szCs w:val="21"/>
              </w:rPr>
              <w:t>成交供应商</w:t>
            </w:r>
            <w:r>
              <w:rPr>
                <w:rFonts w:hint="eastAsia" w:asciiTheme="minorEastAsia" w:hAnsiTheme="minorEastAsia" w:eastAsiaTheme="minorEastAsia"/>
                <w:sz w:val="21"/>
                <w:szCs w:val="21"/>
                <w:lang w:eastAsia="zh-CN"/>
              </w:rPr>
              <w:t>必须及时上报采购人</w:t>
            </w:r>
            <w:r>
              <w:rPr>
                <w:rFonts w:hint="default" w:asciiTheme="minorEastAsia" w:hAnsiTheme="minorEastAsia" w:eastAsiaTheme="minorEastAsia"/>
                <w:sz w:val="21"/>
                <w:szCs w:val="21"/>
              </w:rPr>
              <w:t>。</w:t>
            </w:r>
          </w:p>
          <w:p w14:paraId="6F78E26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（4）保养标准按国家、省、市有关规范标准有关规范标准执行。</w:t>
            </w:r>
          </w:p>
          <w:p w14:paraId="43AC006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p>
          <w:p w14:paraId="1C82413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default" w:asciiTheme="minorEastAsia" w:hAnsiTheme="minorEastAsia" w:eastAsiaTheme="minorEastAsia"/>
                <w:b/>
                <w:bCs/>
                <w:sz w:val="21"/>
                <w:szCs w:val="21"/>
              </w:rPr>
              <w:t>（</w:t>
            </w:r>
            <w:r>
              <w:rPr>
                <w:rFonts w:hint="eastAsia" w:asciiTheme="minorEastAsia" w:hAnsiTheme="minorEastAsia" w:eastAsiaTheme="minorEastAsia"/>
                <w:b/>
                <w:bCs/>
                <w:sz w:val="21"/>
                <w:szCs w:val="21"/>
              </w:rPr>
              <w:t>三</w:t>
            </w:r>
            <w:r>
              <w:rPr>
                <w:rFonts w:hint="default" w:asciiTheme="minorEastAsia" w:hAnsiTheme="minorEastAsia" w:eastAsiaTheme="minorEastAsia"/>
                <w:b/>
                <w:bCs/>
                <w:sz w:val="21"/>
                <w:szCs w:val="21"/>
              </w:rPr>
              <w:t>）维修保养及配件更换记录</w:t>
            </w:r>
          </w:p>
          <w:p w14:paraId="6B9556C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合同生效后，</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必须严格按照保养计划做好上述消防设施维修保养工作记录，并将有</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工作人员签名的工作记录交给采购人工作人员确认备案，各类消防配件按采购人要求进行增设或更换，并将增设更换记录交采购人工作人员审核存档。采购人每月对项目服务质量进行检查和考评，如服务质量不符合要求，维修保养记录不及时做好实际记录的，被认为不按要求履行服务，纳入月考评内容。</w:t>
            </w:r>
          </w:p>
          <w:p w14:paraId="4A5CFB8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p>
          <w:p w14:paraId="08126FE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default" w:asciiTheme="minorEastAsia" w:hAnsiTheme="minorEastAsia" w:eastAsiaTheme="minorEastAsia"/>
                <w:b/>
                <w:bCs/>
                <w:sz w:val="21"/>
                <w:szCs w:val="21"/>
              </w:rPr>
              <w:t>（</w:t>
            </w:r>
            <w:r>
              <w:rPr>
                <w:rFonts w:hint="eastAsia" w:asciiTheme="minorEastAsia" w:hAnsiTheme="minorEastAsia" w:eastAsiaTheme="minorEastAsia"/>
                <w:b/>
                <w:bCs/>
                <w:sz w:val="21"/>
                <w:szCs w:val="21"/>
              </w:rPr>
              <w:t>四</w:t>
            </w:r>
            <w:r>
              <w:rPr>
                <w:rFonts w:hint="default" w:asciiTheme="minorEastAsia" w:hAnsiTheme="minorEastAsia" w:eastAsiaTheme="minorEastAsia"/>
                <w:b/>
                <w:bCs/>
                <w:sz w:val="21"/>
                <w:szCs w:val="21"/>
              </w:rPr>
              <w:t>）故障</w:t>
            </w:r>
            <w:r>
              <w:rPr>
                <w:rFonts w:hint="eastAsia" w:asciiTheme="minorEastAsia" w:hAnsiTheme="minorEastAsia" w:eastAsiaTheme="minorEastAsia"/>
                <w:b/>
                <w:bCs/>
                <w:sz w:val="21"/>
                <w:szCs w:val="21"/>
                <w:lang w:eastAsia="zh-CN"/>
              </w:rPr>
              <w:t>处理与上报</w:t>
            </w:r>
          </w:p>
          <w:p w14:paraId="4985270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24小时有人驻场值班，消防系统、设施设备出现故障应立即</w:t>
            </w:r>
            <w:r>
              <w:rPr>
                <w:rFonts w:hint="eastAsia" w:asciiTheme="minorEastAsia" w:hAnsiTheme="minorEastAsia" w:eastAsiaTheme="minorEastAsia"/>
                <w:sz w:val="21"/>
                <w:szCs w:val="21"/>
                <w:lang w:eastAsia="zh-CN"/>
              </w:rPr>
              <w:t>上报并应急处理，防止因部分故障引发的消防系统瘫痪以及可能出现的次生损害</w:t>
            </w:r>
            <w:r>
              <w:rPr>
                <w:rFonts w:hint="default" w:asciiTheme="minorEastAsia" w:hAnsiTheme="minorEastAsia" w:eastAsiaTheme="minorEastAsia"/>
                <w:sz w:val="21"/>
                <w:szCs w:val="21"/>
              </w:rPr>
              <w:t>，</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如不及时</w:t>
            </w:r>
            <w:r>
              <w:rPr>
                <w:rFonts w:hint="eastAsia" w:asciiTheme="minorEastAsia" w:hAnsiTheme="minorEastAsia" w:eastAsiaTheme="minorEastAsia"/>
                <w:sz w:val="21"/>
                <w:szCs w:val="21"/>
                <w:lang w:eastAsia="zh-CN"/>
              </w:rPr>
              <w:t>上报</w:t>
            </w:r>
            <w:r>
              <w:rPr>
                <w:rFonts w:hint="default" w:asciiTheme="minorEastAsia" w:hAnsiTheme="minorEastAsia" w:eastAsiaTheme="minorEastAsia"/>
                <w:sz w:val="21"/>
                <w:szCs w:val="21"/>
              </w:rPr>
              <w:t>的，因此而引起的事故的一切责任由</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负责。</w:t>
            </w:r>
          </w:p>
          <w:p w14:paraId="407AA69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w:t>
            </w:r>
            <w:r>
              <w:rPr>
                <w:rFonts w:hint="eastAsia" w:asciiTheme="minorEastAsia" w:hAnsiTheme="minorEastAsia" w:eastAsiaTheme="minorEastAsia"/>
                <w:sz w:val="21"/>
                <w:szCs w:val="21"/>
                <w:lang w:val="en-US" w:eastAsia="zh-CN"/>
              </w:rPr>
              <w:t>2</w:t>
            </w:r>
            <w:r>
              <w:rPr>
                <w:rFonts w:hint="eastAsia" w:asciiTheme="minorEastAsia" w:hAnsiTheme="minorEastAsia" w:eastAsiaTheme="minorEastAsia"/>
                <w:sz w:val="21"/>
                <w:szCs w:val="21"/>
              </w:rPr>
              <w:t>.</w:t>
            </w:r>
            <w:r>
              <w:rPr>
                <w:rFonts w:hint="default" w:asciiTheme="minorEastAsia" w:hAnsiTheme="minorEastAsia" w:eastAsiaTheme="minorEastAsia"/>
                <w:sz w:val="21"/>
                <w:szCs w:val="21"/>
              </w:rPr>
              <w:t>因维保服务问题使系统无法正常运作或无法达到正常要求的，因此而引起的事故的一切责任由</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负责(不可抗拒的自然灾害引起的事故除外)；在服务期间，若在同一地点出现3次类似情况的，采购人有权解除合同并追究</w:t>
            </w: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的违约责任。</w:t>
            </w:r>
          </w:p>
        </w:tc>
      </w:tr>
      <w:tr w14:paraId="4A44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5" w:type="pct"/>
            <w:vAlign w:val="center"/>
          </w:tcPr>
          <w:p w14:paraId="2F56236A">
            <w:pPr>
              <w:keepNext w:val="0"/>
              <w:keepLines w:val="0"/>
              <w:suppressLineNumbers w:val="0"/>
              <w:spacing w:before="0" w:beforeAutospacing="0" w:after="0" w:afterAutospacing="0"/>
              <w:ind w:left="0" w:right="0"/>
              <w:jc w:val="center"/>
              <w:rPr>
                <w:rFonts w:hint="default" w:asciiTheme="minorEastAsia" w:hAnsiTheme="minorEastAsia"/>
                <w:color w:val="FF0000"/>
                <w:szCs w:val="21"/>
              </w:rPr>
            </w:pPr>
          </w:p>
        </w:tc>
        <w:tc>
          <w:tcPr>
            <w:tcW w:w="303" w:type="pct"/>
            <w:vAlign w:val="center"/>
          </w:tcPr>
          <w:p w14:paraId="52657231">
            <w:pPr>
              <w:pStyle w:val="36"/>
              <w:keepNext w:val="0"/>
              <w:keepLines w:val="0"/>
              <w:suppressLineNumbers w:val="0"/>
              <w:spacing w:before="0" w:beforeAutospacing="0" w:after="0" w:afterAutospacing="0"/>
              <w:ind w:left="49" w:right="0" w:firstLine="0"/>
              <w:jc w:val="center"/>
              <w:rPr>
                <w:rFonts w:hint="default" w:asciiTheme="minorEastAsia" w:hAnsiTheme="minorEastAsia" w:eastAsiaTheme="minorEastAsia"/>
                <w:sz w:val="21"/>
                <w:szCs w:val="21"/>
              </w:rPr>
            </w:pPr>
            <w:r>
              <w:rPr>
                <w:rFonts w:hint="eastAsia" w:asciiTheme="minorEastAsia" w:hAnsiTheme="minorEastAsia" w:eastAsiaTheme="minorEastAsia"/>
                <w:sz w:val="21"/>
                <w:szCs w:val="21"/>
              </w:rPr>
              <w:t>2</w:t>
            </w:r>
          </w:p>
        </w:tc>
        <w:tc>
          <w:tcPr>
            <w:tcW w:w="4291" w:type="pct"/>
            <w:vAlign w:val="center"/>
          </w:tcPr>
          <w:p w14:paraId="6D7B9C67">
            <w:pPr>
              <w:keepNext w:val="0"/>
              <w:keepLines w:val="0"/>
              <w:suppressLineNumbers w:val="0"/>
              <w:spacing w:before="0" w:beforeAutospacing="0" w:after="0" w:afterAutospacing="0"/>
              <w:ind w:left="0" w:right="0"/>
              <w:rPr>
                <w:rFonts w:hint="default" w:asciiTheme="minorEastAsia" w:hAnsiTheme="minorEastAsia"/>
                <w:b/>
                <w:spacing w:val="3"/>
                <w:szCs w:val="21"/>
              </w:rPr>
            </w:pPr>
            <w:r>
              <w:rPr>
                <w:rFonts w:hint="eastAsia" w:asciiTheme="minorEastAsia" w:hAnsiTheme="minorEastAsia"/>
                <w:b/>
                <w:spacing w:val="3"/>
                <w:szCs w:val="21"/>
              </w:rPr>
              <w:t>二、</w:t>
            </w:r>
            <w:r>
              <w:rPr>
                <w:rFonts w:hint="default" w:asciiTheme="minorEastAsia" w:hAnsiTheme="minorEastAsia"/>
                <w:b/>
                <w:spacing w:val="3"/>
                <w:szCs w:val="21"/>
              </w:rPr>
              <w:t>其它服务要求</w:t>
            </w:r>
          </w:p>
          <w:p w14:paraId="1FAB310B">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（一）</w:t>
            </w:r>
            <w:r>
              <w:rPr>
                <w:rFonts w:hint="eastAsia" w:asciiTheme="minorEastAsia" w:hAnsiTheme="minorEastAsia"/>
                <w:bCs/>
                <w:spacing w:val="3"/>
                <w:szCs w:val="21"/>
              </w:rPr>
              <w:t>成交供应商</w:t>
            </w:r>
            <w:r>
              <w:rPr>
                <w:rFonts w:hint="default" w:asciiTheme="minorEastAsia" w:hAnsiTheme="minorEastAsia"/>
                <w:bCs/>
                <w:spacing w:val="3"/>
                <w:szCs w:val="21"/>
              </w:rPr>
              <w:t>提供的消防系统维修保养服务必须严格按照国家政府的有关消防法律、法规、规范及规定执行，维修保养质量要求为合格，符合消防技术规范。并配合采购人完成各项中心任务、安全检查中有关消防安全迎检工作；</w:t>
            </w:r>
          </w:p>
          <w:p w14:paraId="41A0AEB8">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（二）</w:t>
            </w:r>
            <w:r>
              <w:rPr>
                <w:rFonts w:hint="eastAsia" w:asciiTheme="minorEastAsia" w:hAnsiTheme="minorEastAsia"/>
                <w:bCs/>
                <w:spacing w:val="3"/>
                <w:szCs w:val="21"/>
              </w:rPr>
              <w:t>成交供应商</w:t>
            </w:r>
            <w:r>
              <w:rPr>
                <w:rFonts w:hint="default" w:asciiTheme="minorEastAsia" w:hAnsiTheme="minorEastAsia"/>
                <w:bCs/>
                <w:spacing w:val="3"/>
                <w:szCs w:val="21"/>
              </w:rPr>
              <w:t>有义务和责任跟踪和监控院内消防改造工程的质量，确保医院消防系统或设施设备符合消防关法规、技术规范要求。</w:t>
            </w:r>
          </w:p>
          <w:p w14:paraId="73C88D35">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eastAsia" w:asciiTheme="minorEastAsia" w:hAnsiTheme="minorEastAsia"/>
                <w:bCs/>
                <w:spacing w:val="3"/>
                <w:szCs w:val="21"/>
                <w:lang w:eastAsia="zh-CN"/>
              </w:rPr>
              <w:t>（三）成交供应商有义务每半年对医院消防图纸、消防主机内图形显示和编码信息进行更新。</w:t>
            </w:r>
          </w:p>
          <w:p w14:paraId="2C6668C0">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w:t>
            </w:r>
            <w:r>
              <w:rPr>
                <w:rFonts w:hint="eastAsia" w:asciiTheme="minorEastAsia" w:hAnsiTheme="minorEastAsia"/>
                <w:bCs/>
                <w:spacing w:val="3"/>
                <w:szCs w:val="21"/>
                <w:lang w:eastAsia="zh-CN"/>
              </w:rPr>
              <w:t>四</w:t>
            </w:r>
            <w:r>
              <w:rPr>
                <w:rFonts w:hint="default" w:asciiTheme="minorEastAsia" w:hAnsiTheme="minorEastAsia"/>
                <w:bCs/>
                <w:spacing w:val="3"/>
                <w:szCs w:val="21"/>
              </w:rPr>
              <w:t>）</w:t>
            </w:r>
            <w:r>
              <w:rPr>
                <w:rFonts w:hint="eastAsia" w:asciiTheme="minorEastAsia" w:hAnsiTheme="minorEastAsia"/>
                <w:bCs/>
                <w:spacing w:val="3"/>
                <w:szCs w:val="21"/>
              </w:rPr>
              <w:t>成交供应商</w:t>
            </w:r>
            <w:r>
              <w:rPr>
                <w:rFonts w:hint="default" w:asciiTheme="minorEastAsia" w:hAnsiTheme="minorEastAsia"/>
                <w:bCs/>
                <w:spacing w:val="3"/>
                <w:szCs w:val="21"/>
              </w:rPr>
              <w:t>与采购人于合同签订之日起7天内，双方共同对所有地点的消防系统、设备进行一次全面检查，熟悉系统设备。</w:t>
            </w:r>
          </w:p>
          <w:p w14:paraId="77752E0C">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w:t>
            </w:r>
            <w:r>
              <w:rPr>
                <w:rFonts w:hint="eastAsia" w:asciiTheme="minorEastAsia" w:hAnsiTheme="minorEastAsia"/>
                <w:bCs/>
                <w:spacing w:val="3"/>
                <w:szCs w:val="21"/>
                <w:lang w:eastAsia="zh-CN"/>
              </w:rPr>
              <w:t>五</w:t>
            </w:r>
            <w:r>
              <w:rPr>
                <w:rFonts w:hint="default" w:asciiTheme="minorEastAsia" w:hAnsiTheme="minorEastAsia"/>
                <w:bCs/>
                <w:spacing w:val="3"/>
                <w:szCs w:val="21"/>
              </w:rPr>
              <w:t>）服务期满，双方对所有地点的消防系统、设备进行一次全面检查，保证设备能良好运作，将所有消防系统、设备完好的交给采购人。</w:t>
            </w:r>
          </w:p>
          <w:p w14:paraId="4A574664">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w:t>
            </w:r>
            <w:r>
              <w:rPr>
                <w:rFonts w:hint="eastAsia" w:asciiTheme="minorEastAsia" w:hAnsiTheme="minorEastAsia"/>
                <w:bCs/>
                <w:spacing w:val="3"/>
                <w:szCs w:val="21"/>
                <w:lang w:eastAsia="zh-CN"/>
              </w:rPr>
              <w:t>六</w:t>
            </w:r>
            <w:r>
              <w:rPr>
                <w:rFonts w:hint="default" w:asciiTheme="minorEastAsia" w:hAnsiTheme="minorEastAsia"/>
                <w:bCs/>
                <w:spacing w:val="3"/>
                <w:szCs w:val="21"/>
              </w:rPr>
              <w:t>）</w:t>
            </w:r>
            <w:r>
              <w:rPr>
                <w:rFonts w:hint="eastAsia" w:asciiTheme="minorEastAsia" w:hAnsiTheme="minorEastAsia"/>
                <w:bCs/>
                <w:spacing w:val="3"/>
                <w:szCs w:val="21"/>
              </w:rPr>
              <w:t>成交供应商</w:t>
            </w:r>
            <w:r>
              <w:rPr>
                <w:rFonts w:hint="default" w:asciiTheme="minorEastAsia" w:hAnsiTheme="minorEastAsia"/>
                <w:bCs/>
                <w:spacing w:val="3"/>
                <w:szCs w:val="21"/>
              </w:rPr>
              <w:t>于合同签订之日起10天内应对消防系统制订详细的维护保养方案，在方案中须明确各项维保工作的实施时间、进度、预期目标等内容，向采购人提交月度维护计划(每月1日前)和工作总结(每月30日前)，并按系统规范要求进行维护保养，及时检修系统中存在的故障和缺陷。</w:t>
            </w:r>
          </w:p>
          <w:p w14:paraId="07A4EBA8">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（六）</w:t>
            </w:r>
            <w:r>
              <w:rPr>
                <w:rFonts w:hint="eastAsia" w:asciiTheme="minorEastAsia" w:hAnsiTheme="minorEastAsia"/>
                <w:bCs/>
                <w:spacing w:val="3"/>
                <w:szCs w:val="21"/>
              </w:rPr>
              <w:t>成交供应商</w:t>
            </w:r>
            <w:r>
              <w:rPr>
                <w:rFonts w:hint="default" w:asciiTheme="minorEastAsia" w:hAnsiTheme="minorEastAsia"/>
                <w:bCs/>
                <w:spacing w:val="3"/>
                <w:szCs w:val="21"/>
              </w:rPr>
              <w:t>必须在合同生效后15天内，向采购人提供适用的消防系统故障应急预案。</w:t>
            </w:r>
          </w:p>
          <w:p w14:paraId="00B8447C">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w:t>
            </w:r>
            <w:r>
              <w:rPr>
                <w:rFonts w:hint="eastAsia" w:asciiTheme="minorEastAsia" w:hAnsiTheme="minorEastAsia"/>
                <w:bCs/>
                <w:spacing w:val="3"/>
                <w:szCs w:val="21"/>
                <w:lang w:eastAsia="zh-CN"/>
              </w:rPr>
              <w:t>七</w:t>
            </w:r>
            <w:r>
              <w:rPr>
                <w:rFonts w:hint="default" w:asciiTheme="minorEastAsia" w:hAnsiTheme="minorEastAsia"/>
                <w:bCs/>
                <w:spacing w:val="3"/>
                <w:szCs w:val="21"/>
              </w:rPr>
              <w:t>）</w:t>
            </w:r>
            <w:r>
              <w:rPr>
                <w:rFonts w:hint="eastAsia" w:asciiTheme="minorEastAsia" w:hAnsiTheme="minorEastAsia"/>
                <w:bCs/>
                <w:spacing w:val="3"/>
                <w:szCs w:val="21"/>
              </w:rPr>
              <w:t>成交供应商</w:t>
            </w:r>
            <w:r>
              <w:rPr>
                <w:rFonts w:hint="default" w:asciiTheme="minorEastAsia" w:hAnsiTheme="minorEastAsia"/>
                <w:bCs/>
                <w:spacing w:val="3"/>
                <w:szCs w:val="21"/>
              </w:rPr>
              <w:t>在采购人地点工作期间，须遵守采购人管理制度，服从采购人的人员管理；如带材料出外，需列出明细表并经采购人确认方能带出。</w:t>
            </w:r>
          </w:p>
          <w:p w14:paraId="0B88FCAA">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w:t>
            </w:r>
            <w:r>
              <w:rPr>
                <w:rFonts w:hint="eastAsia" w:asciiTheme="minorEastAsia" w:hAnsiTheme="minorEastAsia"/>
                <w:bCs/>
                <w:spacing w:val="3"/>
                <w:szCs w:val="21"/>
                <w:lang w:eastAsia="zh-CN"/>
              </w:rPr>
              <w:t>八</w:t>
            </w:r>
            <w:r>
              <w:rPr>
                <w:rFonts w:hint="default" w:asciiTheme="minorEastAsia" w:hAnsiTheme="minorEastAsia"/>
                <w:bCs/>
                <w:spacing w:val="3"/>
                <w:szCs w:val="21"/>
              </w:rPr>
              <w:t>）</w:t>
            </w:r>
            <w:r>
              <w:rPr>
                <w:rFonts w:hint="eastAsia" w:asciiTheme="minorEastAsia" w:hAnsiTheme="minorEastAsia"/>
                <w:bCs/>
                <w:spacing w:val="3"/>
                <w:szCs w:val="21"/>
              </w:rPr>
              <w:t>成交供应商</w:t>
            </w:r>
            <w:r>
              <w:rPr>
                <w:rFonts w:hint="default" w:asciiTheme="minorEastAsia" w:hAnsiTheme="minorEastAsia"/>
                <w:bCs/>
                <w:spacing w:val="3"/>
                <w:szCs w:val="21"/>
              </w:rPr>
              <w:t>派驻采购人的所有工作人员都服从采购人指挥及协调管理，并配合医院做好需要配合的其他工作（如上级的检查，消防安全日、月宣传等）。</w:t>
            </w:r>
          </w:p>
          <w:p w14:paraId="00B5517B">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w:t>
            </w:r>
            <w:r>
              <w:rPr>
                <w:rFonts w:hint="eastAsia" w:asciiTheme="minorEastAsia" w:hAnsiTheme="minorEastAsia"/>
                <w:bCs/>
                <w:spacing w:val="3"/>
                <w:szCs w:val="21"/>
                <w:lang w:eastAsia="zh-CN"/>
              </w:rPr>
              <w:t>九</w:t>
            </w:r>
            <w:r>
              <w:rPr>
                <w:rFonts w:hint="default" w:asciiTheme="minorEastAsia" w:hAnsiTheme="minorEastAsia"/>
                <w:bCs/>
                <w:spacing w:val="3"/>
                <w:szCs w:val="21"/>
              </w:rPr>
              <w:t>）项目主管须常驻采购人处，负责本驻点的全面管理、监督指导及协调工作，主动找采购人了解项目服务情况和收集意见。</w:t>
            </w:r>
          </w:p>
          <w:p w14:paraId="4C1FFE20">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（十）在服务期内，</w:t>
            </w:r>
            <w:r>
              <w:rPr>
                <w:rFonts w:hint="eastAsia" w:asciiTheme="minorEastAsia" w:hAnsiTheme="minorEastAsia"/>
                <w:bCs/>
                <w:spacing w:val="3"/>
                <w:szCs w:val="21"/>
              </w:rPr>
              <w:t>成交供应商</w:t>
            </w:r>
            <w:r>
              <w:rPr>
                <w:rFonts w:hint="default" w:asciiTheme="minorEastAsia" w:hAnsiTheme="minorEastAsia"/>
                <w:bCs/>
                <w:spacing w:val="3"/>
                <w:szCs w:val="21"/>
              </w:rPr>
              <w:t>必须做好其派出的工作人员所需要的安全教育及安全措施，保证工作人员安全，工作人员在采购人工作范围内发生事故的一切责任由</w:t>
            </w:r>
            <w:r>
              <w:rPr>
                <w:rFonts w:hint="eastAsia" w:asciiTheme="minorEastAsia" w:hAnsiTheme="minorEastAsia"/>
                <w:bCs/>
                <w:spacing w:val="3"/>
                <w:szCs w:val="21"/>
              </w:rPr>
              <w:t>成交供应商</w:t>
            </w:r>
            <w:r>
              <w:rPr>
                <w:rFonts w:hint="default" w:asciiTheme="minorEastAsia" w:hAnsiTheme="minorEastAsia"/>
                <w:bCs/>
                <w:spacing w:val="3"/>
                <w:szCs w:val="21"/>
              </w:rPr>
              <w:t>负责。</w:t>
            </w:r>
          </w:p>
          <w:p w14:paraId="43AA7334">
            <w:pPr>
              <w:keepNext w:val="0"/>
              <w:keepLines w:val="0"/>
              <w:suppressLineNumbers w:val="0"/>
              <w:spacing w:before="0" w:beforeAutospacing="0" w:after="0" w:afterAutospacing="0"/>
              <w:ind w:left="0" w:right="0"/>
              <w:rPr>
                <w:rFonts w:hint="default" w:asciiTheme="minorEastAsia" w:hAnsiTheme="minorEastAsia"/>
                <w:b/>
                <w:spacing w:val="3"/>
                <w:szCs w:val="21"/>
              </w:rPr>
            </w:pPr>
          </w:p>
        </w:tc>
      </w:tr>
      <w:tr w14:paraId="0977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3" w:hRule="atLeast"/>
          <w:jc w:val="center"/>
        </w:trPr>
        <w:tc>
          <w:tcPr>
            <w:tcW w:w="405" w:type="pct"/>
            <w:vAlign w:val="center"/>
          </w:tcPr>
          <w:p w14:paraId="7CD72321">
            <w:pPr>
              <w:keepNext w:val="0"/>
              <w:keepLines w:val="0"/>
              <w:suppressLineNumbers w:val="0"/>
              <w:spacing w:before="0" w:beforeAutospacing="0" w:after="0" w:afterAutospacing="0"/>
              <w:ind w:left="0" w:right="0"/>
              <w:jc w:val="center"/>
              <w:rPr>
                <w:rFonts w:hint="default" w:asciiTheme="minorEastAsia" w:hAnsiTheme="minorEastAsia"/>
                <w:color w:val="FF0000"/>
                <w:szCs w:val="21"/>
              </w:rPr>
            </w:pPr>
          </w:p>
        </w:tc>
        <w:tc>
          <w:tcPr>
            <w:tcW w:w="303" w:type="pct"/>
            <w:vAlign w:val="center"/>
          </w:tcPr>
          <w:p w14:paraId="2C16E924">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3</w:t>
            </w:r>
          </w:p>
        </w:tc>
        <w:tc>
          <w:tcPr>
            <w:tcW w:w="4291" w:type="pct"/>
            <w:vAlign w:val="center"/>
          </w:tcPr>
          <w:p w14:paraId="2C55AE87">
            <w:pPr>
              <w:keepNext w:val="0"/>
              <w:keepLines w:val="0"/>
              <w:suppressLineNumbers w:val="0"/>
              <w:spacing w:before="0" w:beforeAutospacing="0" w:after="0" w:afterAutospacing="0"/>
              <w:ind w:left="0" w:right="0"/>
              <w:rPr>
                <w:rFonts w:hint="default" w:asciiTheme="minorEastAsia" w:hAnsiTheme="minorEastAsia"/>
                <w:b/>
                <w:szCs w:val="21"/>
              </w:rPr>
            </w:pPr>
            <w:r>
              <w:rPr>
                <w:rFonts w:hint="eastAsia" w:asciiTheme="minorEastAsia" w:hAnsiTheme="minorEastAsia"/>
                <w:b/>
                <w:szCs w:val="21"/>
              </w:rPr>
              <w:t>三、报价方式</w:t>
            </w:r>
          </w:p>
          <w:p w14:paraId="67DCCD77">
            <w:pPr>
              <w:keepNext w:val="0"/>
              <w:keepLines w:val="0"/>
              <w:suppressLineNumbers w:val="0"/>
              <w:spacing w:before="0" w:beforeAutospacing="0" w:after="0" w:afterAutospacing="0"/>
              <w:ind w:left="0" w:right="0"/>
              <w:rPr>
                <w:rFonts w:hint="default" w:asciiTheme="minorEastAsia" w:hAnsiTheme="minorEastAsia"/>
                <w:bCs/>
                <w:szCs w:val="21"/>
              </w:rPr>
            </w:pPr>
            <w:r>
              <w:rPr>
                <w:rFonts w:hint="default" w:asciiTheme="minorEastAsia" w:hAnsiTheme="minorEastAsia"/>
                <w:bCs/>
                <w:szCs w:val="21"/>
              </w:rPr>
              <w:t>1.本项目以项目内容进行分项报价，各分项报价之和即视为项目总报价。</w:t>
            </w:r>
          </w:p>
          <w:p w14:paraId="4C4E8EC3">
            <w:pPr>
              <w:keepNext w:val="0"/>
              <w:keepLines w:val="0"/>
              <w:suppressLineNumbers w:val="0"/>
              <w:spacing w:before="0" w:beforeAutospacing="0" w:after="0" w:afterAutospacing="0"/>
              <w:ind w:left="0" w:right="0"/>
              <w:rPr>
                <w:rFonts w:hint="default" w:asciiTheme="minorEastAsia" w:hAnsiTheme="minorEastAsia"/>
                <w:bCs/>
                <w:szCs w:val="21"/>
              </w:rPr>
            </w:pPr>
            <w:r>
              <w:rPr>
                <w:rFonts w:hint="default" w:asciiTheme="minorEastAsia" w:hAnsiTheme="minorEastAsia"/>
                <w:bCs/>
                <w:szCs w:val="21"/>
              </w:rPr>
              <w:t>★</w:t>
            </w:r>
            <w:r>
              <w:rPr>
                <w:rFonts w:hint="eastAsia" w:asciiTheme="minorEastAsia" w:hAnsiTheme="minorEastAsia"/>
                <w:bCs/>
                <w:szCs w:val="21"/>
                <w:lang w:val="en-US" w:eastAsia="zh-CN"/>
              </w:rPr>
              <w:t>2</w:t>
            </w:r>
            <w:r>
              <w:rPr>
                <w:rFonts w:hint="default" w:asciiTheme="minorEastAsia" w:hAnsiTheme="minorEastAsia"/>
                <w:bCs/>
                <w:szCs w:val="21"/>
              </w:rPr>
              <w:t>.</w:t>
            </w:r>
            <w:r>
              <w:rPr>
                <w:rFonts w:hint="eastAsia" w:asciiTheme="minorEastAsia" w:hAnsiTheme="minorEastAsia"/>
                <w:bCs/>
                <w:szCs w:val="21"/>
              </w:rPr>
              <w:t>供应商</w:t>
            </w:r>
            <w:r>
              <w:rPr>
                <w:rFonts w:hint="default" w:asciiTheme="minorEastAsia" w:hAnsiTheme="minorEastAsia"/>
                <w:bCs/>
                <w:szCs w:val="21"/>
              </w:rPr>
              <w:t>须按照《报价明细表》要求进行各部分的明细报价，所报价格不可超过最高限价。</w:t>
            </w:r>
            <w:r>
              <w:rPr>
                <w:rFonts w:hint="eastAsia" w:asciiTheme="minorEastAsia" w:hAnsiTheme="minorEastAsia"/>
                <w:bCs/>
                <w:szCs w:val="21"/>
                <w:lang w:eastAsia="zh-CN"/>
              </w:rPr>
              <w:t>报价</w:t>
            </w:r>
            <w:r>
              <w:rPr>
                <w:rFonts w:hint="eastAsia" w:asciiTheme="minorEastAsia" w:hAnsiTheme="minorEastAsia"/>
                <w:bCs/>
                <w:szCs w:val="21"/>
              </w:rPr>
              <w:t>时按以下报价明细表格式进行报价，</w:t>
            </w:r>
            <w:r>
              <w:rPr>
                <w:rFonts w:hint="default" w:asciiTheme="minorEastAsia" w:hAnsiTheme="minorEastAsia"/>
                <w:bCs/>
                <w:szCs w:val="21"/>
              </w:rPr>
              <w:t>“项目总报价”与</w:t>
            </w:r>
            <w:r>
              <w:rPr>
                <w:rFonts w:hint="eastAsia" w:asciiTheme="minorEastAsia" w:hAnsiTheme="minorEastAsia"/>
                <w:bCs/>
                <w:szCs w:val="21"/>
                <w:lang w:eastAsia="zh-CN"/>
              </w:rPr>
              <w:t>报价</w:t>
            </w:r>
            <w:r>
              <w:rPr>
                <w:rFonts w:hint="default" w:asciiTheme="minorEastAsia" w:hAnsiTheme="minorEastAsia"/>
                <w:bCs/>
                <w:szCs w:val="21"/>
              </w:rPr>
              <w:t>客户端填写的总报价一致，否则按无效</w:t>
            </w:r>
            <w:r>
              <w:rPr>
                <w:rFonts w:hint="eastAsia" w:asciiTheme="minorEastAsia" w:hAnsiTheme="minorEastAsia"/>
                <w:bCs/>
                <w:szCs w:val="21"/>
                <w:lang w:eastAsia="zh-CN"/>
              </w:rPr>
              <w:t>报价</w:t>
            </w:r>
            <w:r>
              <w:rPr>
                <w:rFonts w:hint="default" w:asciiTheme="minorEastAsia" w:hAnsiTheme="minorEastAsia"/>
                <w:bCs/>
                <w:szCs w:val="21"/>
              </w:rPr>
              <w:t>处理</w:t>
            </w:r>
            <w:r>
              <w:rPr>
                <w:rFonts w:hint="eastAsia" w:asciiTheme="minorEastAsia" w:hAnsiTheme="minorEastAsia"/>
                <w:bCs/>
                <w:szCs w:val="21"/>
              </w:rPr>
              <w:t>。</w:t>
            </w:r>
          </w:p>
          <w:p w14:paraId="65B3EE4C">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default" w:asciiTheme="minorEastAsia" w:hAnsiTheme="minorEastAsia"/>
                <w:b/>
                <w:szCs w:val="21"/>
              </w:rPr>
              <w:t>报价明细表</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3"/>
              <w:gridCol w:w="620"/>
              <w:gridCol w:w="694"/>
              <w:gridCol w:w="1592"/>
              <w:gridCol w:w="1624"/>
            </w:tblGrid>
            <w:tr w14:paraId="2750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5" w:type="pct"/>
                  <w:vAlign w:val="center"/>
                </w:tcPr>
                <w:p w14:paraId="683EDAD6">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r>
                    <w:rPr>
                      <w:rFonts w:hint="eastAsia" w:asciiTheme="minorEastAsia" w:hAnsiTheme="minorEastAsia"/>
                      <w:b/>
                      <w:szCs w:val="21"/>
                    </w:rPr>
                    <w:t>标的名称</w:t>
                  </w:r>
                </w:p>
              </w:tc>
              <w:tc>
                <w:tcPr>
                  <w:tcW w:w="391" w:type="pct"/>
                  <w:vAlign w:val="center"/>
                </w:tcPr>
                <w:p w14:paraId="2C8F99E1">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r>
                    <w:rPr>
                      <w:rFonts w:hint="eastAsia" w:asciiTheme="minorEastAsia" w:hAnsiTheme="minorEastAsia"/>
                      <w:b/>
                      <w:szCs w:val="21"/>
                    </w:rPr>
                    <w:t>单位</w:t>
                  </w:r>
                </w:p>
              </w:tc>
              <w:tc>
                <w:tcPr>
                  <w:tcW w:w="437" w:type="pct"/>
                  <w:vAlign w:val="center"/>
                </w:tcPr>
                <w:p w14:paraId="213D331F">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r>
                    <w:rPr>
                      <w:rFonts w:hint="eastAsia" w:asciiTheme="minorEastAsia" w:hAnsiTheme="minorEastAsia"/>
                      <w:b/>
                      <w:szCs w:val="21"/>
                    </w:rPr>
                    <w:t>数量</w:t>
                  </w:r>
                </w:p>
              </w:tc>
              <w:tc>
                <w:tcPr>
                  <w:tcW w:w="1001" w:type="pct"/>
                  <w:vAlign w:val="center"/>
                </w:tcPr>
                <w:p w14:paraId="699D9164">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r>
                    <w:rPr>
                      <w:rFonts w:hint="eastAsia" w:asciiTheme="minorEastAsia" w:hAnsiTheme="minorEastAsia"/>
                      <w:b/>
                      <w:szCs w:val="21"/>
                    </w:rPr>
                    <w:t>分项单价报价（元）</w:t>
                  </w:r>
                </w:p>
              </w:tc>
              <w:tc>
                <w:tcPr>
                  <w:tcW w:w="1023" w:type="pct"/>
                  <w:vAlign w:val="center"/>
                </w:tcPr>
                <w:p w14:paraId="5D8062FD">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r>
                    <w:rPr>
                      <w:rFonts w:hint="eastAsia" w:asciiTheme="minorEastAsia" w:hAnsiTheme="minorEastAsia"/>
                      <w:b/>
                      <w:szCs w:val="21"/>
                    </w:rPr>
                    <w:t>分项总价报价（元）</w:t>
                  </w:r>
                </w:p>
              </w:tc>
            </w:tr>
            <w:tr w14:paraId="14EC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5" w:type="pct"/>
                  <w:vAlign w:val="center"/>
                </w:tcPr>
                <w:p w14:paraId="3729EA24">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r>
                    <w:rPr>
                      <w:rFonts w:hint="eastAsia" w:ascii="宋体" w:hAnsi="宋体" w:cs="宋体"/>
                      <w:szCs w:val="21"/>
                      <w:lang w:eastAsia="zh-CN"/>
                    </w:rPr>
                    <w:t>广州医科大学附属番禺中心医院</w:t>
                  </w:r>
                  <w:r>
                    <w:rPr>
                      <w:rFonts w:hint="eastAsia" w:ascii="宋体" w:hAnsi="宋体" w:cs="宋体"/>
                      <w:szCs w:val="21"/>
                    </w:rPr>
                    <w:t>（含</w:t>
                  </w:r>
                  <w:r>
                    <w:rPr>
                      <w:rFonts w:hint="eastAsia" w:ascii="宋体" w:hAnsi="宋体"/>
                      <w:szCs w:val="21"/>
                    </w:rPr>
                    <w:t>区府门诊、药物维持点</w:t>
                  </w:r>
                  <w:r>
                    <w:rPr>
                      <w:rFonts w:hint="eastAsia" w:ascii="宋体" w:hAnsi="宋体" w:cs="宋体"/>
                      <w:szCs w:val="21"/>
                    </w:rPr>
                    <w:t>）维保服务</w:t>
                  </w:r>
                </w:p>
              </w:tc>
              <w:tc>
                <w:tcPr>
                  <w:tcW w:w="391" w:type="pct"/>
                  <w:vAlign w:val="center"/>
                </w:tcPr>
                <w:p w14:paraId="00FBB638">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r>
                    <w:rPr>
                      <w:rFonts w:hint="eastAsia" w:asciiTheme="minorEastAsia" w:hAnsiTheme="minorEastAsia"/>
                      <w:bCs/>
                      <w:szCs w:val="21"/>
                    </w:rPr>
                    <w:t>年</w:t>
                  </w:r>
                </w:p>
              </w:tc>
              <w:tc>
                <w:tcPr>
                  <w:tcW w:w="437" w:type="pct"/>
                  <w:vAlign w:val="center"/>
                </w:tcPr>
                <w:p w14:paraId="5A811812">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r>
                    <w:rPr>
                      <w:rFonts w:hint="eastAsia" w:asciiTheme="minorEastAsia" w:hAnsiTheme="minorEastAsia"/>
                      <w:bCs/>
                      <w:szCs w:val="21"/>
                    </w:rPr>
                    <w:t>2</w:t>
                  </w:r>
                </w:p>
              </w:tc>
              <w:tc>
                <w:tcPr>
                  <w:tcW w:w="1001" w:type="pct"/>
                  <w:vAlign w:val="center"/>
                </w:tcPr>
                <w:p w14:paraId="22C97D88">
                  <w:pPr>
                    <w:keepNext w:val="0"/>
                    <w:keepLines w:val="0"/>
                    <w:widowControl/>
                    <w:suppressLineNumbers w:val="0"/>
                    <w:spacing w:before="0" w:beforeAutospacing="0" w:after="0" w:afterAutospacing="0" w:line="240" w:lineRule="auto"/>
                    <w:ind w:left="0" w:right="0"/>
                    <w:jc w:val="center"/>
                    <w:textAlignment w:val="center"/>
                    <w:rPr>
                      <w:rFonts w:hint="default" w:asciiTheme="minorEastAsia" w:hAnsiTheme="minorEastAsia"/>
                      <w:bCs/>
                      <w:szCs w:val="21"/>
                    </w:rPr>
                  </w:pPr>
                </w:p>
              </w:tc>
              <w:tc>
                <w:tcPr>
                  <w:tcW w:w="1023" w:type="pct"/>
                  <w:vAlign w:val="center"/>
                </w:tcPr>
                <w:p w14:paraId="10932D87">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p>
              </w:tc>
            </w:tr>
            <w:tr w14:paraId="097C0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5" w:type="pct"/>
                  <w:vAlign w:val="center"/>
                </w:tcPr>
                <w:p w14:paraId="76E48CFD">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r>
                    <w:rPr>
                      <w:rFonts w:hint="eastAsia" w:ascii="宋体" w:hAnsi="宋体"/>
                      <w:szCs w:val="21"/>
                    </w:rPr>
                    <w:t>广州市番禺区第七人民医院</w:t>
                  </w:r>
                  <w:r>
                    <w:rPr>
                      <w:rFonts w:hint="eastAsia" w:ascii="宋体" w:hAnsi="宋体" w:cs="宋体"/>
                      <w:szCs w:val="21"/>
                    </w:rPr>
                    <w:t>维保服务</w:t>
                  </w:r>
                </w:p>
              </w:tc>
              <w:tc>
                <w:tcPr>
                  <w:tcW w:w="391" w:type="pct"/>
                  <w:vAlign w:val="center"/>
                </w:tcPr>
                <w:p w14:paraId="38E6881A">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r>
                    <w:rPr>
                      <w:rFonts w:hint="eastAsia" w:asciiTheme="minorEastAsia" w:hAnsiTheme="minorEastAsia"/>
                      <w:bCs/>
                      <w:szCs w:val="21"/>
                    </w:rPr>
                    <w:t>年</w:t>
                  </w:r>
                </w:p>
              </w:tc>
              <w:tc>
                <w:tcPr>
                  <w:tcW w:w="437" w:type="pct"/>
                  <w:vAlign w:val="center"/>
                </w:tcPr>
                <w:p w14:paraId="1EE55D9B">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r>
                    <w:rPr>
                      <w:rFonts w:hint="eastAsia" w:asciiTheme="minorEastAsia" w:hAnsiTheme="minorEastAsia"/>
                      <w:bCs/>
                      <w:szCs w:val="21"/>
                    </w:rPr>
                    <w:t>2</w:t>
                  </w:r>
                </w:p>
              </w:tc>
              <w:tc>
                <w:tcPr>
                  <w:tcW w:w="1001" w:type="pct"/>
                  <w:vAlign w:val="center"/>
                </w:tcPr>
                <w:p w14:paraId="76B5D951">
                  <w:pPr>
                    <w:keepNext w:val="0"/>
                    <w:keepLines w:val="0"/>
                    <w:widowControl/>
                    <w:suppressLineNumbers w:val="0"/>
                    <w:spacing w:before="0" w:beforeAutospacing="0" w:after="0" w:afterAutospacing="0" w:line="240" w:lineRule="auto"/>
                    <w:ind w:left="0" w:right="0"/>
                    <w:jc w:val="center"/>
                    <w:textAlignment w:val="center"/>
                    <w:rPr>
                      <w:rFonts w:hint="default" w:asciiTheme="minorEastAsia" w:hAnsiTheme="minorEastAsia"/>
                      <w:bCs/>
                      <w:szCs w:val="21"/>
                    </w:rPr>
                  </w:pPr>
                </w:p>
              </w:tc>
              <w:tc>
                <w:tcPr>
                  <w:tcW w:w="1023" w:type="pct"/>
                  <w:vAlign w:val="center"/>
                </w:tcPr>
                <w:p w14:paraId="2D758364">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p>
              </w:tc>
            </w:tr>
            <w:tr w14:paraId="2D07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3976" w:type="pct"/>
                  <w:gridSpan w:val="4"/>
                  <w:vAlign w:val="center"/>
                </w:tcPr>
                <w:p w14:paraId="7AC47E21">
                  <w:pPr>
                    <w:keepNext w:val="0"/>
                    <w:keepLines w:val="0"/>
                    <w:suppressLineNumbers w:val="0"/>
                    <w:spacing w:before="0" w:beforeAutospacing="0" w:after="0" w:afterAutospacing="0" w:line="240" w:lineRule="auto"/>
                    <w:ind w:left="0" w:right="0"/>
                    <w:jc w:val="center"/>
                    <w:rPr>
                      <w:rFonts w:hint="default" w:asciiTheme="minorEastAsia" w:hAnsiTheme="minorEastAsia"/>
                      <w:b/>
                      <w:szCs w:val="21"/>
                    </w:rPr>
                  </w:pPr>
                  <w:r>
                    <w:rPr>
                      <w:rFonts w:hint="eastAsia" w:asciiTheme="minorEastAsia" w:hAnsiTheme="minorEastAsia"/>
                      <w:b/>
                      <w:szCs w:val="21"/>
                    </w:rPr>
                    <w:t>项目总报价</w:t>
                  </w:r>
                </w:p>
              </w:tc>
              <w:tc>
                <w:tcPr>
                  <w:tcW w:w="1023" w:type="pct"/>
                  <w:vAlign w:val="center"/>
                </w:tcPr>
                <w:p w14:paraId="653D6F3F">
                  <w:pPr>
                    <w:keepNext w:val="0"/>
                    <w:keepLines w:val="0"/>
                    <w:suppressLineNumbers w:val="0"/>
                    <w:spacing w:before="0" w:beforeAutospacing="0" w:after="0" w:afterAutospacing="0" w:line="240" w:lineRule="auto"/>
                    <w:ind w:left="0" w:right="0"/>
                    <w:jc w:val="center"/>
                    <w:rPr>
                      <w:rFonts w:hint="default" w:asciiTheme="minorEastAsia" w:hAnsiTheme="minorEastAsia"/>
                      <w:bCs/>
                      <w:szCs w:val="21"/>
                    </w:rPr>
                  </w:pPr>
                </w:p>
              </w:tc>
            </w:tr>
          </w:tbl>
          <w:p w14:paraId="55729224">
            <w:pPr>
              <w:pStyle w:val="23"/>
              <w:keepNext w:val="0"/>
              <w:keepLines w:val="0"/>
              <w:suppressLineNumbers w:val="0"/>
              <w:spacing w:before="0" w:beforeAutospacing="0" w:after="0" w:afterAutospacing="0"/>
              <w:ind w:left="0" w:right="0" w:firstLine="0" w:firstLineChars="0"/>
              <w:rPr>
                <w:rFonts w:hint="default"/>
              </w:rPr>
            </w:pPr>
          </w:p>
        </w:tc>
      </w:tr>
      <w:tr w14:paraId="5FE6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5" w:type="pct"/>
            <w:vAlign w:val="center"/>
          </w:tcPr>
          <w:p w14:paraId="239295B2">
            <w:pPr>
              <w:keepNext w:val="0"/>
              <w:keepLines w:val="0"/>
              <w:suppressLineNumbers w:val="0"/>
              <w:spacing w:before="0" w:beforeAutospacing="0" w:after="0" w:afterAutospacing="0"/>
              <w:ind w:left="0" w:right="0"/>
              <w:jc w:val="center"/>
              <w:rPr>
                <w:rFonts w:hint="default" w:asciiTheme="minorEastAsia" w:hAnsiTheme="minorEastAsia"/>
                <w:color w:val="FF0000"/>
                <w:szCs w:val="21"/>
              </w:rPr>
            </w:pPr>
          </w:p>
        </w:tc>
        <w:tc>
          <w:tcPr>
            <w:tcW w:w="303" w:type="pct"/>
            <w:vAlign w:val="center"/>
          </w:tcPr>
          <w:p w14:paraId="5B031663">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lang w:val="en-US" w:eastAsia="zh-CN"/>
              </w:rPr>
              <w:t>4</w:t>
            </w:r>
          </w:p>
        </w:tc>
        <w:tc>
          <w:tcPr>
            <w:tcW w:w="4291" w:type="pct"/>
            <w:vAlign w:val="center"/>
          </w:tcPr>
          <w:p w14:paraId="07E16B34">
            <w:pPr>
              <w:keepNext w:val="0"/>
              <w:keepLines w:val="0"/>
              <w:suppressLineNumbers w:val="0"/>
              <w:spacing w:before="0" w:beforeAutospacing="0" w:after="0" w:afterAutospacing="0"/>
              <w:ind w:left="0" w:right="0"/>
              <w:rPr>
                <w:rFonts w:hint="default" w:asciiTheme="minorEastAsia" w:hAnsiTheme="minorEastAsia"/>
                <w:b/>
                <w:szCs w:val="21"/>
              </w:rPr>
            </w:pPr>
            <w:r>
              <w:rPr>
                <w:rFonts w:hint="eastAsia" w:asciiTheme="minorEastAsia" w:hAnsiTheme="minorEastAsia"/>
                <w:b/>
                <w:szCs w:val="21"/>
                <w:lang w:eastAsia="zh-CN"/>
              </w:rPr>
              <w:t>四</w:t>
            </w:r>
            <w:r>
              <w:rPr>
                <w:rFonts w:hint="eastAsia" w:asciiTheme="minorEastAsia" w:hAnsiTheme="minorEastAsia"/>
                <w:b/>
                <w:szCs w:val="21"/>
              </w:rPr>
              <w:t>、</w:t>
            </w:r>
            <w:r>
              <w:rPr>
                <w:rFonts w:hint="default" w:asciiTheme="minorEastAsia" w:hAnsiTheme="minorEastAsia"/>
                <w:b/>
                <w:szCs w:val="21"/>
              </w:rPr>
              <w:t>每月考评</w:t>
            </w:r>
          </w:p>
          <w:p w14:paraId="228E8B23">
            <w:pPr>
              <w:keepNext w:val="0"/>
              <w:keepLines w:val="0"/>
              <w:suppressLineNumbers w:val="0"/>
              <w:spacing w:before="0" w:beforeAutospacing="0" w:after="0" w:afterAutospacing="0"/>
              <w:ind w:left="0" w:right="0"/>
              <w:rPr>
                <w:rFonts w:hint="default" w:asciiTheme="minorEastAsia" w:hAnsiTheme="minorEastAsia"/>
                <w:bCs/>
                <w:szCs w:val="21"/>
              </w:rPr>
            </w:pPr>
            <w:r>
              <w:rPr>
                <w:rFonts w:hint="default" w:asciiTheme="minorEastAsia" w:hAnsiTheme="minorEastAsia"/>
                <w:bCs/>
                <w:szCs w:val="21"/>
              </w:rPr>
              <w:t>1、采购人每月对</w:t>
            </w:r>
            <w:r>
              <w:rPr>
                <w:rFonts w:hint="eastAsia" w:asciiTheme="minorEastAsia" w:hAnsiTheme="minorEastAsia"/>
                <w:bCs/>
                <w:szCs w:val="21"/>
              </w:rPr>
              <w:t>成交供应商</w:t>
            </w:r>
            <w:r>
              <w:rPr>
                <w:rFonts w:hint="default" w:asciiTheme="minorEastAsia" w:hAnsiTheme="minorEastAsia"/>
                <w:bCs/>
                <w:szCs w:val="21"/>
              </w:rPr>
              <w:t>的履约情况及服务质量进行考评，考评细则由采购人根据服务需求制定，作为合同附件生效。每月考评分85-95分为合格，月服务费全额支付。高于95分为优秀；月服务质量考评分未达85分为不合格，低于85分，每下降1分扣当月服务费1000元。</w:t>
            </w:r>
          </w:p>
          <w:p w14:paraId="07BCF3E1">
            <w:pPr>
              <w:keepNext w:val="0"/>
              <w:keepLines w:val="0"/>
              <w:suppressLineNumbers w:val="0"/>
              <w:spacing w:before="0" w:beforeAutospacing="0" w:after="0" w:afterAutospacing="0"/>
              <w:ind w:left="0" w:right="0"/>
              <w:rPr>
                <w:rFonts w:hint="default" w:asciiTheme="minorEastAsia" w:hAnsiTheme="minorEastAsia"/>
                <w:bCs/>
                <w:szCs w:val="21"/>
              </w:rPr>
            </w:pPr>
            <w:r>
              <w:rPr>
                <w:rFonts w:hint="default" w:asciiTheme="minorEastAsia" w:hAnsiTheme="minorEastAsia"/>
                <w:bCs/>
                <w:szCs w:val="21"/>
              </w:rPr>
              <w:t>★2、低于85分，考评结果为差的</w:t>
            </w:r>
            <w:r>
              <w:rPr>
                <w:rFonts w:hint="eastAsia" w:asciiTheme="minorEastAsia" w:hAnsiTheme="minorEastAsia"/>
                <w:bCs/>
                <w:szCs w:val="21"/>
              </w:rPr>
              <w:t>采购人</w:t>
            </w:r>
            <w:r>
              <w:rPr>
                <w:rFonts w:hint="default" w:asciiTheme="minorEastAsia" w:hAnsiTheme="minorEastAsia"/>
                <w:bCs/>
                <w:szCs w:val="21"/>
              </w:rPr>
              <w:t>有权提出终止合同。</w:t>
            </w:r>
          </w:p>
        </w:tc>
      </w:tr>
      <w:tr w14:paraId="21E3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5" w:type="pct"/>
            <w:vAlign w:val="center"/>
          </w:tcPr>
          <w:p w14:paraId="4D17EB06">
            <w:pPr>
              <w:keepNext w:val="0"/>
              <w:keepLines w:val="0"/>
              <w:suppressLineNumbers w:val="0"/>
              <w:spacing w:before="0" w:beforeAutospacing="0" w:after="0" w:afterAutospacing="0"/>
              <w:ind w:left="0" w:right="0"/>
              <w:jc w:val="center"/>
              <w:rPr>
                <w:rFonts w:hint="default" w:asciiTheme="minorEastAsia" w:hAnsiTheme="minorEastAsia"/>
                <w:color w:val="FF0000"/>
                <w:szCs w:val="21"/>
              </w:rPr>
            </w:pPr>
          </w:p>
        </w:tc>
        <w:tc>
          <w:tcPr>
            <w:tcW w:w="303" w:type="pct"/>
            <w:vAlign w:val="center"/>
          </w:tcPr>
          <w:p w14:paraId="23A326B6">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lang w:val="en-US" w:eastAsia="zh-CN"/>
              </w:rPr>
              <w:t>5</w:t>
            </w:r>
          </w:p>
        </w:tc>
        <w:tc>
          <w:tcPr>
            <w:tcW w:w="4291" w:type="pct"/>
            <w:vAlign w:val="center"/>
          </w:tcPr>
          <w:p w14:paraId="72BA1269">
            <w:pPr>
              <w:pStyle w:val="9"/>
              <w:keepNext w:val="0"/>
              <w:keepLines w:val="0"/>
              <w:suppressLineNumbers w:val="0"/>
              <w:spacing w:before="0" w:beforeAutospacing="0" w:after="0" w:afterAutospacing="0"/>
              <w:ind w:left="0" w:right="0"/>
              <w:rPr>
                <w:rFonts w:hint="default" w:hAnsi="宋体" w:cs="宋体"/>
                <w:b/>
                <w:bCs/>
                <w:szCs w:val="21"/>
              </w:rPr>
            </w:pPr>
            <w:r>
              <w:rPr>
                <w:rFonts w:hint="eastAsia" w:hAnsi="宋体" w:cs="宋体"/>
                <w:b/>
                <w:bCs/>
                <w:szCs w:val="21"/>
              </w:rPr>
              <w:t>附表1：</w:t>
            </w:r>
            <w:r>
              <w:rPr>
                <w:rFonts w:hint="default" w:hAnsi="宋体" w:cs="宋体"/>
                <w:b/>
                <w:bCs/>
                <w:szCs w:val="21"/>
              </w:rPr>
              <w:t xml:space="preserve">            </w:t>
            </w:r>
            <w:r>
              <w:rPr>
                <w:rFonts w:hint="eastAsia" w:ascii="宋体" w:hAnsi="宋体"/>
                <w:lang w:eastAsia="zh-CN"/>
              </w:rPr>
              <w:t>简易</w:t>
            </w:r>
            <w:r>
              <w:rPr>
                <w:rFonts w:hint="default" w:ascii="宋体" w:hAnsi="宋体"/>
              </w:rPr>
              <w:t>消防</w:t>
            </w:r>
            <w:r>
              <w:rPr>
                <w:rFonts w:hint="eastAsia" w:ascii="宋体" w:hAnsi="宋体"/>
                <w:lang w:eastAsia="zh-CN"/>
              </w:rPr>
              <w:t>配件故障维修</w:t>
            </w:r>
            <w:r>
              <w:rPr>
                <w:rFonts w:hint="eastAsia" w:ascii="宋体" w:hAnsi="宋体"/>
              </w:rPr>
              <w:t>清单</w:t>
            </w:r>
            <w:r>
              <w:rPr>
                <w:rFonts w:hint="eastAsia" w:hAnsi="宋体" w:cs="宋体"/>
                <w:b/>
                <w:bCs/>
                <w:szCs w:val="21"/>
              </w:rPr>
              <w:t>（供参考）</w:t>
            </w:r>
          </w:p>
          <w:tbl>
            <w:tblPr>
              <w:tblStyle w:val="16"/>
              <w:tblW w:w="7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1096"/>
              <w:gridCol w:w="2316"/>
              <w:gridCol w:w="608"/>
              <w:gridCol w:w="1013"/>
              <w:gridCol w:w="2316"/>
            </w:tblGrid>
            <w:tr w14:paraId="63A2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05FDAC92">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序号</w:t>
                  </w:r>
                </w:p>
              </w:tc>
              <w:tc>
                <w:tcPr>
                  <w:tcW w:w="1096" w:type="dxa"/>
                  <w:vAlign w:val="center"/>
                </w:tcPr>
                <w:p w14:paraId="6FDC58B0">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配件名称</w:t>
                  </w:r>
                </w:p>
              </w:tc>
              <w:tc>
                <w:tcPr>
                  <w:tcW w:w="2316" w:type="dxa"/>
                  <w:vAlign w:val="center"/>
                </w:tcPr>
                <w:p w14:paraId="16AD9936">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型号</w:t>
                  </w:r>
                </w:p>
              </w:tc>
              <w:tc>
                <w:tcPr>
                  <w:tcW w:w="608" w:type="dxa"/>
                  <w:vAlign w:val="center"/>
                </w:tcPr>
                <w:p w14:paraId="1B487443">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序号</w:t>
                  </w:r>
                </w:p>
              </w:tc>
              <w:tc>
                <w:tcPr>
                  <w:tcW w:w="1013" w:type="dxa"/>
                  <w:vAlign w:val="center"/>
                </w:tcPr>
                <w:p w14:paraId="3C0D5B6D">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配件名称</w:t>
                  </w:r>
                </w:p>
              </w:tc>
              <w:tc>
                <w:tcPr>
                  <w:tcW w:w="2316" w:type="dxa"/>
                  <w:vAlign w:val="center"/>
                </w:tcPr>
                <w:p w14:paraId="3E7F2C20">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型号</w:t>
                  </w:r>
                </w:p>
              </w:tc>
            </w:tr>
            <w:tr w14:paraId="5BB2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64E0E9CF">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w:t>
                  </w:r>
                </w:p>
              </w:tc>
              <w:tc>
                <w:tcPr>
                  <w:tcW w:w="1096" w:type="dxa"/>
                  <w:shd w:val="clear" w:color="auto" w:fill="auto"/>
                  <w:vAlign w:val="center"/>
                </w:tcPr>
                <w:p w14:paraId="7F68B8F7">
                  <w:pPr>
                    <w:keepNext w:val="0"/>
                    <w:keepLines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SA"/>
                    </w:rPr>
                  </w:pPr>
                  <w:r>
                    <w:rPr>
                      <w:rFonts w:hint="eastAsia" w:ascii="宋体" w:hAnsi="宋体" w:eastAsia="宋体" w:cs="宋体"/>
                      <w:szCs w:val="21"/>
                    </w:rPr>
                    <w:t>隔离模块</w:t>
                  </w:r>
                </w:p>
              </w:tc>
              <w:tc>
                <w:tcPr>
                  <w:tcW w:w="2316" w:type="dxa"/>
                  <w:shd w:val="clear" w:color="auto" w:fill="auto"/>
                  <w:vAlign w:val="center"/>
                </w:tcPr>
                <w:p w14:paraId="4404E249">
                  <w:pPr>
                    <w:keepNext w:val="0"/>
                    <w:keepLines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SA"/>
                    </w:rPr>
                  </w:pPr>
                  <w:r>
                    <w:rPr>
                      <w:rFonts w:hint="eastAsia" w:ascii="宋体" w:hAnsi="宋体" w:eastAsia="宋体" w:cs="宋体"/>
                      <w:szCs w:val="21"/>
                    </w:rPr>
                    <w:t>JBF-4171+VB3401B</w:t>
                  </w:r>
                </w:p>
              </w:tc>
              <w:tc>
                <w:tcPr>
                  <w:tcW w:w="608" w:type="dxa"/>
                  <w:vAlign w:val="center"/>
                </w:tcPr>
                <w:p w14:paraId="1137AC2B">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26</w:t>
                  </w:r>
                </w:p>
              </w:tc>
              <w:tc>
                <w:tcPr>
                  <w:tcW w:w="1013" w:type="dxa"/>
                  <w:vAlign w:val="center"/>
                </w:tcPr>
                <w:p w14:paraId="25C2F5A5">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联动控制器消防电源</w:t>
                  </w:r>
                </w:p>
              </w:tc>
              <w:tc>
                <w:tcPr>
                  <w:tcW w:w="2316" w:type="dxa"/>
                  <w:vAlign w:val="center"/>
                </w:tcPr>
                <w:p w14:paraId="3D7CADF2">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BYF-PC20M</w:t>
                  </w:r>
                </w:p>
              </w:tc>
            </w:tr>
            <w:tr w14:paraId="1F31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27BD1FF4">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2</w:t>
                  </w:r>
                </w:p>
              </w:tc>
              <w:tc>
                <w:tcPr>
                  <w:tcW w:w="1096" w:type="dxa"/>
                  <w:vAlign w:val="center"/>
                </w:tcPr>
                <w:p w14:paraId="57BA970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智能光电烟感探头</w:t>
                  </w:r>
                </w:p>
              </w:tc>
              <w:tc>
                <w:tcPr>
                  <w:tcW w:w="2316" w:type="dxa"/>
                  <w:vAlign w:val="center"/>
                </w:tcPr>
                <w:p w14:paraId="0F0F8713">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JBF-5100+JBF-VB4301B</w:t>
                  </w:r>
                </w:p>
              </w:tc>
              <w:tc>
                <w:tcPr>
                  <w:tcW w:w="608" w:type="dxa"/>
                  <w:vAlign w:val="center"/>
                </w:tcPr>
                <w:p w14:paraId="4AE42FA6">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27</w:t>
                  </w:r>
                </w:p>
              </w:tc>
              <w:tc>
                <w:tcPr>
                  <w:tcW w:w="1013" w:type="dxa"/>
                  <w:vAlign w:val="center"/>
                </w:tcPr>
                <w:p w14:paraId="35F1CC7F">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智能感温探头</w:t>
                  </w:r>
                </w:p>
              </w:tc>
              <w:tc>
                <w:tcPr>
                  <w:tcW w:w="2316" w:type="dxa"/>
                  <w:vAlign w:val="center"/>
                </w:tcPr>
                <w:p w14:paraId="06F3B098">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JBF-5110+JBF-VB4301B</w:t>
                  </w:r>
                </w:p>
              </w:tc>
            </w:tr>
            <w:tr w14:paraId="73A9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2E561074">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3</w:t>
                  </w:r>
                </w:p>
              </w:tc>
              <w:tc>
                <w:tcPr>
                  <w:tcW w:w="1096" w:type="dxa"/>
                  <w:vAlign w:val="center"/>
                </w:tcPr>
                <w:p w14:paraId="3B0B165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总线制操作盘</w:t>
                  </w:r>
                </w:p>
              </w:tc>
              <w:tc>
                <w:tcPr>
                  <w:tcW w:w="2316" w:type="dxa"/>
                  <w:vAlign w:val="center"/>
                </w:tcPr>
                <w:p w14:paraId="5171C939">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JBF-11SF-CK90B</w:t>
                  </w:r>
                </w:p>
              </w:tc>
              <w:tc>
                <w:tcPr>
                  <w:tcW w:w="608" w:type="dxa"/>
                  <w:vAlign w:val="center"/>
                </w:tcPr>
                <w:p w14:paraId="2149DAA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28</w:t>
                  </w:r>
                </w:p>
              </w:tc>
              <w:tc>
                <w:tcPr>
                  <w:tcW w:w="1013" w:type="dxa"/>
                  <w:vAlign w:val="center"/>
                </w:tcPr>
                <w:p w14:paraId="7C405277">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多线制操作盘</w:t>
                  </w:r>
                </w:p>
              </w:tc>
              <w:tc>
                <w:tcPr>
                  <w:tcW w:w="2316" w:type="dxa"/>
                  <w:vAlign w:val="center"/>
                </w:tcPr>
                <w:p w14:paraId="77AE3DD3">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JBF-11SF-CD8B</w:t>
                  </w:r>
                </w:p>
              </w:tc>
            </w:tr>
            <w:tr w14:paraId="7B85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5DE13E6C">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4</w:t>
                  </w:r>
                </w:p>
              </w:tc>
              <w:tc>
                <w:tcPr>
                  <w:tcW w:w="1096" w:type="dxa"/>
                  <w:vAlign w:val="center"/>
                </w:tcPr>
                <w:p w14:paraId="3CF1FE7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智能消火栓按钮</w:t>
                  </w:r>
                </w:p>
              </w:tc>
              <w:tc>
                <w:tcPr>
                  <w:tcW w:w="2316" w:type="dxa"/>
                  <w:vAlign w:val="center"/>
                </w:tcPr>
                <w:p w14:paraId="0A5C75E9">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JBF4123B</w:t>
                  </w:r>
                </w:p>
              </w:tc>
              <w:tc>
                <w:tcPr>
                  <w:tcW w:w="608" w:type="dxa"/>
                  <w:vAlign w:val="center"/>
                </w:tcPr>
                <w:p w14:paraId="14D72BC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29</w:t>
                  </w:r>
                </w:p>
              </w:tc>
              <w:tc>
                <w:tcPr>
                  <w:tcW w:w="1013" w:type="dxa"/>
                  <w:vAlign w:val="center"/>
                </w:tcPr>
                <w:p w14:paraId="4BF86C55">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防雷器接入自动报警系统远程控制模块</w:t>
                  </w:r>
                </w:p>
              </w:tc>
              <w:tc>
                <w:tcPr>
                  <w:tcW w:w="2316" w:type="dxa"/>
                  <w:vAlign w:val="center"/>
                </w:tcPr>
                <w:p w14:paraId="53465FF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JBF-5155</w:t>
                  </w:r>
                </w:p>
              </w:tc>
            </w:tr>
            <w:tr w14:paraId="4B6C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3614DB4A">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5</w:t>
                  </w:r>
                </w:p>
              </w:tc>
              <w:tc>
                <w:tcPr>
                  <w:tcW w:w="1096" w:type="dxa"/>
                  <w:vAlign w:val="center"/>
                </w:tcPr>
                <w:p w14:paraId="099D55E2">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智能手动报警按钮</w:t>
                  </w:r>
                </w:p>
              </w:tc>
              <w:tc>
                <w:tcPr>
                  <w:tcW w:w="2316" w:type="dxa"/>
                  <w:vAlign w:val="center"/>
                </w:tcPr>
                <w:p w14:paraId="5AEAD756">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J-SAP-JBF4121B-P</w:t>
                  </w:r>
                </w:p>
              </w:tc>
              <w:tc>
                <w:tcPr>
                  <w:tcW w:w="608" w:type="dxa"/>
                  <w:vAlign w:val="center"/>
                </w:tcPr>
                <w:p w14:paraId="52DF9B89">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30</w:t>
                  </w:r>
                </w:p>
              </w:tc>
              <w:tc>
                <w:tcPr>
                  <w:tcW w:w="1013" w:type="dxa"/>
                  <w:vAlign w:val="center"/>
                </w:tcPr>
                <w:p w14:paraId="7417977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单输入输出模块</w:t>
                  </w:r>
                </w:p>
              </w:tc>
              <w:tc>
                <w:tcPr>
                  <w:tcW w:w="2316" w:type="dxa"/>
                  <w:vAlign w:val="center"/>
                </w:tcPr>
                <w:p w14:paraId="55B3D20B">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JBF-5141+VB3401A</w:t>
                  </w:r>
                </w:p>
              </w:tc>
            </w:tr>
            <w:tr w14:paraId="5411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4618A6E7">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6</w:t>
                  </w:r>
                </w:p>
              </w:tc>
              <w:tc>
                <w:tcPr>
                  <w:tcW w:w="1096" w:type="dxa"/>
                  <w:vAlign w:val="center"/>
                </w:tcPr>
                <w:p w14:paraId="62806553">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双输入输出模块</w:t>
                  </w:r>
                </w:p>
              </w:tc>
              <w:tc>
                <w:tcPr>
                  <w:tcW w:w="2316" w:type="dxa"/>
                  <w:vAlign w:val="center"/>
                </w:tcPr>
                <w:p w14:paraId="447F67F8">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JBF-5143</w:t>
                  </w:r>
                </w:p>
              </w:tc>
              <w:tc>
                <w:tcPr>
                  <w:tcW w:w="608" w:type="dxa"/>
                  <w:vAlign w:val="center"/>
                </w:tcPr>
                <w:p w14:paraId="42FD85EA">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31</w:t>
                  </w:r>
                </w:p>
              </w:tc>
              <w:tc>
                <w:tcPr>
                  <w:tcW w:w="1013" w:type="dxa"/>
                  <w:vAlign w:val="center"/>
                </w:tcPr>
                <w:p w14:paraId="259CBF5C">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单输入模块</w:t>
                  </w:r>
                </w:p>
              </w:tc>
              <w:tc>
                <w:tcPr>
                  <w:tcW w:w="2316" w:type="dxa"/>
                  <w:vAlign w:val="center"/>
                </w:tcPr>
                <w:p w14:paraId="0DB5AF55">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JBF-5131+VB3401A</w:t>
                  </w:r>
                </w:p>
              </w:tc>
            </w:tr>
            <w:tr w14:paraId="444C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55F98E75">
                  <w:pPr>
                    <w:keepNext w:val="0"/>
                    <w:keepLines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7</w:t>
                  </w:r>
                </w:p>
              </w:tc>
              <w:tc>
                <w:tcPr>
                  <w:tcW w:w="1096" w:type="dxa"/>
                  <w:vAlign w:val="center"/>
                </w:tcPr>
                <w:p w14:paraId="70F8C54E">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消防控制室图形显示装置</w:t>
                  </w:r>
                </w:p>
              </w:tc>
              <w:tc>
                <w:tcPr>
                  <w:tcW w:w="2316" w:type="dxa"/>
                  <w:vAlign w:val="center"/>
                </w:tcPr>
                <w:p w14:paraId="3CAA81A0">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JBF5202</w:t>
                  </w:r>
                </w:p>
              </w:tc>
              <w:tc>
                <w:tcPr>
                  <w:tcW w:w="608" w:type="dxa"/>
                  <w:vAlign w:val="center"/>
                </w:tcPr>
                <w:p w14:paraId="3DA39229">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32</w:t>
                  </w:r>
                </w:p>
              </w:tc>
              <w:tc>
                <w:tcPr>
                  <w:tcW w:w="1013" w:type="dxa"/>
                  <w:vAlign w:val="center"/>
                </w:tcPr>
                <w:p w14:paraId="6E05449F">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总线消防电话主机</w:t>
                  </w:r>
                </w:p>
              </w:tc>
              <w:tc>
                <w:tcPr>
                  <w:tcW w:w="2316" w:type="dxa"/>
                  <w:vAlign w:val="center"/>
                </w:tcPr>
                <w:p w14:paraId="7C4809F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HY6311</w:t>
                  </w:r>
                </w:p>
              </w:tc>
            </w:tr>
            <w:tr w14:paraId="6F97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23188F5D">
                  <w:pPr>
                    <w:keepNext w:val="0"/>
                    <w:keepLines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8</w:t>
                  </w:r>
                </w:p>
              </w:tc>
              <w:tc>
                <w:tcPr>
                  <w:tcW w:w="1096" w:type="dxa"/>
                  <w:vAlign w:val="center"/>
                </w:tcPr>
                <w:p w14:paraId="2D03C33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火灾事故广播</w:t>
                  </w:r>
                </w:p>
              </w:tc>
              <w:tc>
                <w:tcPr>
                  <w:tcW w:w="2316" w:type="dxa"/>
                  <w:vAlign w:val="center"/>
                </w:tcPr>
                <w:p w14:paraId="1A26DBC2">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GRT-GB11-600W</w:t>
                  </w:r>
                </w:p>
              </w:tc>
              <w:tc>
                <w:tcPr>
                  <w:tcW w:w="608" w:type="dxa"/>
                  <w:vAlign w:val="center"/>
                </w:tcPr>
                <w:p w14:paraId="62A0F235">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33</w:t>
                  </w:r>
                </w:p>
              </w:tc>
              <w:tc>
                <w:tcPr>
                  <w:tcW w:w="1013" w:type="dxa"/>
                  <w:vAlign w:val="center"/>
                </w:tcPr>
                <w:p w14:paraId="28912C84">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消防广播喇叭</w:t>
                  </w:r>
                </w:p>
              </w:tc>
              <w:tc>
                <w:tcPr>
                  <w:tcW w:w="2316" w:type="dxa"/>
                  <w:vAlign w:val="center"/>
                </w:tcPr>
                <w:p w14:paraId="4AF01CFE">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GRT3XA-01</w:t>
                  </w:r>
                </w:p>
              </w:tc>
            </w:tr>
            <w:tr w14:paraId="30C3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6CF4D9C6">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9</w:t>
                  </w:r>
                </w:p>
              </w:tc>
              <w:tc>
                <w:tcPr>
                  <w:tcW w:w="1096" w:type="dxa"/>
                  <w:vAlign w:val="center"/>
                </w:tcPr>
                <w:p w14:paraId="0BD58B4B">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eastAsia="zh-CN"/>
                    </w:rPr>
                    <w:t>防雷器</w:t>
                  </w:r>
                </w:p>
              </w:tc>
              <w:tc>
                <w:tcPr>
                  <w:tcW w:w="2316" w:type="dxa"/>
                  <w:vAlign w:val="center"/>
                </w:tcPr>
                <w:p w14:paraId="0AA38E8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 xml:space="preserve"> 阻燃材料  额定信号工作电压24V，标称放电电流5KA，最大放电电流10kA</w:t>
                  </w:r>
                </w:p>
              </w:tc>
              <w:tc>
                <w:tcPr>
                  <w:tcW w:w="608" w:type="dxa"/>
                  <w:vAlign w:val="center"/>
                </w:tcPr>
                <w:p w14:paraId="56C88A73">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34</w:t>
                  </w:r>
                </w:p>
              </w:tc>
              <w:tc>
                <w:tcPr>
                  <w:tcW w:w="1013" w:type="dxa"/>
                  <w:vAlign w:val="center"/>
                </w:tcPr>
                <w:p w14:paraId="77C916C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隔离模块</w:t>
                  </w:r>
                </w:p>
              </w:tc>
              <w:tc>
                <w:tcPr>
                  <w:tcW w:w="2316" w:type="dxa"/>
                  <w:vAlign w:val="center"/>
                </w:tcPr>
                <w:p w14:paraId="21F0F217">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JBF-4171+VB3401B</w:t>
                  </w:r>
                </w:p>
              </w:tc>
            </w:tr>
            <w:tr w14:paraId="227A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73024FC4">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10</w:t>
                  </w:r>
                </w:p>
              </w:tc>
              <w:tc>
                <w:tcPr>
                  <w:tcW w:w="1096" w:type="dxa"/>
                  <w:vAlign w:val="center"/>
                </w:tcPr>
                <w:p w14:paraId="591C5C0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卷帘手动控制按钮</w:t>
                  </w:r>
                </w:p>
              </w:tc>
              <w:tc>
                <w:tcPr>
                  <w:tcW w:w="2316" w:type="dxa"/>
                  <w:vAlign w:val="center"/>
                </w:tcPr>
                <w:p w14:paraId="40F0833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w:t>
                  </w:r>
                </w:p>
              </w:tc>
              <w:tc>
                <w:tcPr>
                  <w:tcW w:w="608" w:type="dxa"/>
                  <w:vAlign w:val="center"/>
                </w:tcPr>
                <w:p w14:paraId="083A5D42">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35</w:t>
                  </w:r>
                </w:p>
              </w:tc>
              <w:tc>
                <w:tcPr>
                  <w:tcW w:w="1013" w:type="dxa"/>
                  <w:vAlign w:val="center"/>
                </w:tcPr>
                <w:p w14:paraId="2F27104C">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eastAsia="zh-CN"/>
                    </w:rPr>
                    <w:t>卷帘电机</w:t>
                  </w:r>
                </w:p>
              </w:tc>
              <w:tc>
                <w:tcPr>
                  <w:tcW w:w="2316" w:type="dxa"/>
                  <w:vAlign w:val="center"/>
                </w:tcPr>
                <w:p w14:paraId="13A64843">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color w:val="000000"/>
                      <w:kern w:val="0"/>
                      <w:szCs w:val="21"/>
                    </w:rPr>
                    <w:t>电压：380V，频率：50HZ，功率：250W，最大提升力：600KG，额定转距：412N.m，铜质线圈。</w:t>
                  </w:r>
                </w:p>
              </w:tc>
            </w:tr>
            <w:tr w14:paraId="613F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6C22B2F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1</w:t>
                  </w:r>
                </w:p>
              </w:tc>
              <w:tc>
                <w:tcPr>
                  <w:tcW w:w="1096" w:type="dxa"/>
                  <w:vAlign w:val="center"/>
                </w:tcPr>
                <w:p w14:paraId="28A973BB">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消防报警主机打印机</w:t>
                  </w:r>
                </w:p>
              </w:tc>
              <w:tc>
                <w:tcPr>
                  <w:tcW w:w="2316" w:type="dxa"/>
                  <w:vAlign w:val="center"/>
                </w:tcPr>
                <w:p w14:paraId="61218138">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北大青鸟打印机SP-RMD12. 电源：5V  3A接口：并口</w:t>
                  </w:r>
                </w:p>
              </w:tc>
              <w:tc>
                <w:tcPr>
                  <w:tcW w:w="608" w:type="dxa"/>
                  <w:vAlign w:val="center"/>
                </w:tcPr>
                <w:p w14:paraId="50B2223E">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36</w:t>
                  </w:r>
                </w:p>
              </w:tc>
              <w:tc>
                <w:tcPr>
                  <w:tcW w:w="1013" w:type="dxa"/>
                  <w:vAlign w:val="center"/>
                </w:tcPr>
                <w:p w14:paraId="06983AA4">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后备电池</w:t>
                  </w:r>
                </w:p>
              </w:tc>
              <w:tc>
                <w:tcPr>
                  <w:tcW w:w="2316" w:type="dxa"/>
                  <w:vAlign w:val="center"/>
                </w:tcPr>
                <w:p w14:paraId="7105CA26">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免维护铅酸12V 38A</w:t>
                  </w:r>
                </w:p>
              </w:tc>
            </w:tr>
            <w:tr w14:paraId="27FF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5E22D5B7">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12</w:t>
                  </w:r>
                </w:p>
              </w:tc>
              <w:tc>
                <w:tcPr>
                  <w:tcW w:w="1096" w:type="dxa"/>
                  <w:vAlign w:val="center"/>
                </w:tcPr>
                <w:p w14:paraId="5DBD6E47">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卷帘控制器</w:t>
                  </w:r>
                </w:p>
              </w:tc>
              <w:tc>
                <w:tcPr>
                  <w:tcW w:w="2316" w:type="dxa"/>
                  <w:vAlign w:val="center"/>
                </w:tcPr>
                <w:p w14:paraId="4416F644">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所有输出接点容量</w:t>
                  </w:r>
                </w:p>
              </w:tc>
              <w:tc>
                <w:tcPr>
                  <w:tcW w:w="608" w:type="dxa"/>
                  <w:vAlign w:val="center"/>
                </w:tcPr>
                <w:p w14:paraId="33F3C3A5">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32</w:t>
                  </w:r>
                </w:p>
              </w:tc>
              <w:tc>
                <w:tcPr>
                  <w:tcW w:w="1013" w:type="dxa"/>
                  <w:vAlign w:val="center"/>
                </w:tcPr>
                <w:p w14:paraId="4D2937B5">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水流指示器</w:t>
                  </w:r>
                </w:p>
              </w:tc>
              <w:tc>
                <w:tcPr>
                  <w:tcW w:w="2316" w:type="dxa"/>
                  <w:vAlign w:val="center"/>
                </w:tcPr>
                <w:p w14:paraId="2A6B0A43">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水流指标器 DN150  额定工作压力1.2MPa，触点容量24V1A</w:t>
                  </w:r>
                </w:p>
              </w:tc>
            </w:tr>
            <w:tr w14:paraId="1BCD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1E66F549">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13</w:t>
                  </w:r>
                </w:p>
              </w:tc>
              <w:tc>
                <w:tcPr>
                  <w:tcW w:w="1096" w:type="dxa"/>
                  <w:vAlign w:val="center"/>
                </w:tcPr>
                <w:p w14:paraId="53BB29D2">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闭门器</w:t>
                  </w:r>
                </w:p>
              </w:tc>
              <w:tc>
                <w:tcPr>
                  <w:tcW w:w="2316" w:type="dxa"/>
                  <w:vAlign w:val="center"/>
                </w:tcPr>
                <w:p w14:paraId="0ECD4F3E">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color w:val="000000"/>
                      <w:kern w:val="0"/>
                      <w:szCs w:val="21"/>
                    </w:rPr>
                    <w:t>材质：铝合金，孔距：162*19mm，，承重25—45KG，适合范围：各种材质防火门。</w:t>
                  </w:r>
                </w:p>
              </w:tc>
              <w:tc>
                <w:tcPr>
                  <w:tcW w:w="608" w:type="dxa"/>
                  <w:vAlign w:val="center"/>
                </w:tcPr>
                <w:p w14:paraId="1BD05E8D">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33</w:t>
                  </w:r>
                </w:p>
              </w:tc>
              <w:tc>
                <w:tcPr>
                  <w:tcW w:w="1013" w:type="dxa"/>
                  <w:vAlign w:val="center"/>
                </w:tcPr>
                <w:p w14:paraId="1BE40681">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防火门门锁</w:t>
                  </w:r>
                </w:p>
              </w:tc>
              <w:tc>
                <w:tcPr>
                  <w:tcW w:w="2316" w:type="dxa"/>
                  <w:vAlign w:val="center"/>
                </w:tcPr>
                <w:p w14:paraId="137558F1">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CB-SIA</w:t>
                  </w:r>
                </w:p>
              </w:tc>
            </w:tr>
            <w:tr w14:paraId="7A1C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307649B5">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14</w:t>
                  </w:r>
                </w:p>
              </w:tc>
              <w:tc>
                <w:tcPr>
                  <w:tcW w:w="1096" w:type="dxa"/>
                  <w:vAlign w:val="center"/>
                </w:tcPr>
                <w:p w14:paraId="685AF4A4">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消防应急照明灯</w:t>
                  </w:r>
                </w:p>
              </w:tc>
              <w:tc>
                <w:tcPr>
                  <w:tcW w:w="2316" w:type="dxa"/>
                  <w:vAlign w:val="center"/>
                </w:tcPr>
                <w:p w14:paraId="3FF8771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color w:val="000000"/>
                      <w:kern w:val="0"/>
                      <w:szCs w:val="21"/>
                    </w:rPr>
                    <w:t>1、额定电压：AC220V±10％；</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2、额定工作频率：50HZ-60HZ；</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3、主电功耗：5W；</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4、应急光源：贴片LED；</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 xml:space="preserve">5、应急转换时间：＜2S； </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6、应急光效：≥50LM (超亮型)；</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7、充电时间：＜24小时；</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8、应急时间：≥1.5小时；</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9、使用环境温度25℃±10℃；</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10、使用环境空气相对湿度：＜90％；</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11、外壳防护等级</w:t>
                  </w:r>
                  <w:r>
                    <w:rPr>
                      <w:rStyle w:val="22"/>
                      <w:rFonts w:hint="eastAsia" w:ascii="宋体" w:hAnsi="宋体" w:eastAsia="宋体" w:cs="宋体"/>
                    </w:rPr>
                    <w:t>≧</w:t>
                  </w:r>
                  <w:r>
                    <w:rPr>
                      <w:rFonts w:hint="eastAsia" w:ascii="宋体" w:hAnsi="宋体" w:eastAsia="宋体" w:cs="宋体"/>
                      <w:color w:val="000000"/>
                      <w:kern w:val="0"/>
                      <w:szCs w:val="21"/>
                    </w:rPr>
                    <w:t>IP30；</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12、智能语音报警，采用集成“IC芯片”。</w:t>
                  </w:r>
                </w:p>
              </w:tc>
              <w:tc>
                <w:tcPr>
                  <w:tcW w:w="608" w:type="dxa"/>
                  <w:vAlign w:val="center"/>
                </w:tcPr>
                <w:p w14:paraId="4A0608B9">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34</w:t>
                  </w:r>
                </w:p>
              </w:tc>
              <w:tc>
                <w:tcPr>
                  <w:tcW w:w="1013" w:type="dxa"/>
                  <w:vAlign w:val="center"/>
                </w:tcPr>
                <w:p w14:paraId="1854A944">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安全出口指示灯</w:t>
                  </w:r>
                </w:p>
              </w:tc>
              <w:tc>
                <w:tcPr>
                  <w:tcW w:w="2316" w:type="dxa"/>
                  <w:vAlign w:val="center"/>
                </w:tcPr>
                <w:p w14:paraId="728C0E6A">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kern w:val="0"/>
                      <w:szCs w:val="21"/>
                    </w:rPr>
                    <w:t>1、额定电压：AC/DC18~36V；</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2、额定工作频率：50HZ-60HZ；</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3、主电功耗：5W；</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4、应急光源：贴片LED；</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5、应急转换时间：＜2S；</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6、应急光效：≥50LM(超亮型)；</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7、充电时间＜24小时；</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8、应急时间：≥1.5小时；</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9、使用环境温度25℃±10℃；</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10、使用环境空气相对湿度：＜90％；</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11、外壳防护等级</w:t>
                  </w:r>
                  <w:r>
                    <w:rPr>
                      <w:rStyle w:val="22"/>
                      <w:rFonts w:hint="eastAsia" w:ascii="宋体" w:hAnsi="宋体" w:eastAsia="宋体" w:cs="宋体"/>
                    </w:rPr>
                    <w:t>≧</w:t>
                  </w:r>
                  <w:r>
                    <w:rPr>
                      <w:rFonts w:hint="eastAsia" w:ascii="宋体" w:hAnsi="宋体" w:eastAsia="宋体" w:cs="宋体"/>
                      <w:color w:val="000000"/>
                      <w:kern w:val="0"/>
                      <w:szCs w:val="21"/>
                    </w:rPr>
                    <w:t>IP30；</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12、执行标准：GB17945-2010；</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13、智能语音报警，采用集成“IC芯片”；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14、外壳工艺：防火塑料；</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15、应急/不应急可通过外部接线选择。</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16、适用于EPS/应急电源/安全电压供电场所使用，自带强启常亮功能。</w:t>
                  </w:r>
                </w:p>
              </w:tc>
            </w:tr>
            <w:tr w14:paraId="6B28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60752424">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15</w:t>
                  </w:r>
                </w:p>
              </w:tc>
              <w:tc>
                <w:tcPr>
                  <w:tcW w:w="1096" w:type="dxa"/>
                  <w:shd w:val="clear" w:color="auto" w:fill="auto"/>
                  <w:vAlign w:val="center"/>
                </w:tcPr>
                <w:p w14:paraId="5EF19923">
                  <w:pPr>
                    <w:keepNext w:val="0"/>
                    <w:keepLines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灭火箱面板</w:t>
                  </w:r>
                </w:p>
              </w:tc>
              <w:tc>
                <w:tcPr>
                  <w:tcW w:w="2316" w:type="dxa"/>
                  <w:shd w:val="clear" w:color="auto" w:fill="auto"/>
                  <w:vAlign w:val="center"/>
                </w:tcPr>
                <w:p w14:paraId="260EF833">
                  <w:pPr>
                    <w:keepNext w:val="0"/>
                    <w:keepLines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SA"/>
                    </w:rPr>
                  </w:pPr>
                  <w:r>
                    <w:rPr>
                      <w:rFonts w:hint="eastAsia" w:ascii="宋体" w:hAnsi="宋体" w:eastAsia="宋体" w:cs="宋体"/>
                      <w:szCs w:val="21"/>
                    </w:rPr>
                    <w:t>国产</w:t>
                  </w:r>
                </w:p>
              </w:tc>
              <w:tc>
                <w:tcPr>
                  <w:tcW w:w="608" w:type="dxa"/>
                  <w:vAlign w:val="center"/>
                </w:tcPr>
                <w:p w14:paraId="26F3EF7C">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35</w:t>
                  </w:r>
                </w:p>
              </w:tc>
              <w:tc>
                <w:tcPr>
                  <w:tcW w:w="1013" w:type="dxa"/>
                  <w:shd w:val="clear" w:color="auto" w:fill="auto"/>
                  <w:vAlign w:val="center"/>
                </w:tcPr>
                <w:p w14:paraId="4D7D7A62">
                  <w:pPr>
                    <w:keepNext w:val="0"/>
                    <w:keepLines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电接点压力表</w:t>
                  </w:r>
                </w:p>
              </w:tc>
              <w:tc>
                <w:tcPr>
                  <w:tcW w:w="2316" w:type="dxa"/>
                  <w:vAlign w:val="center"/>
                </w:tcPr>
                <w:p w14:paraId="3625622E">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1.6MPA</w:t>
                  </w:r>
                </w:p>
              </w:tc>
            </w:tr>
            <w:tr w14:paraId="6B6E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392E4492">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16</w:t>
                  </w:r>
                </w:p>
              </w:tc>
              <w:tc>
                <w:tcPr>
                  <w:tcW w:w="1096" w:type="dxa"/>
                  <w:shd w:val="clear" w:color="auto" w:fill="auto"/>
                  <w:vAlign w:val="center"/>
                </w:tcPr>
                <w:p w14:paraId="3DDFBB93">
                  <w:pPr>
                    <w:keepNext w:val="0"/>
                    <w:keepLines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消火栓面板</w:t>
                  </w:r>
                </w:p>
              </w:tc>
              <w:tc>
                <w:tcPr>
                  <w:tcW w:w="2316" w:type="dxa"/>
                  <w:shd w:val="clear" w:color="auto" w:fill="auto"/>
                  <w:vAlign w:val="center"/>
                </w:tcPr>
                <w:p w14:paraId="24B9263E">
                  <w:pPr>
                    <w:keepNext w:val="0"/>
                    <w:keepLines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SA"/>
                    </w:rPr>
                  </w:pPr>
                  <w:r>
                    <w:rPr>
                      <w:rFonts w:hint="eastAsia" w:ascii="宋体" w:hAnsi="宋体" w:eastAsia="宋体" w:cs="宋体"/>
                      <w:szCs w:val="21"/>
                    </w:rPr>
                    <w:t>国产</w:t>
                  </w:r>
                </w:p>
              </w:tc>
              <w:tc>
                <w:tcPr>
                  <w:tcW w:w="608" w:type="dxa"/>
                  <w:vAlign w:val="center"/>
                </w:tcPr>
                <w:p w14:paraId="525AF5C9">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36</w:t>
                  </w:r>
                </w:p>
              </w:tc>
              <w:tc>
                <w:tcPr>
                  <w:tcW w:w="1013" w:type="dxa"/>
                  <w:shd w:val="clear" w:color="auto" w:fill="auto"/>
                  <w:vAlign w:val="center"/>
                </w:tcPr>
                <w:p w14:paraId="03AEBA95">
                  <w:pPr>
                    <w:keepNext w:val="0"/>
                    <w:keepLines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直流水枪</w:t>
                  </w:r>
                </w:p>
              </w:tc>
              <w:tc>
                <w:tcPr>
                  <w:tcW w:w="2316" w:type="dxa"/>
                  <w:vAlign w:val="center"/>
                </w:tcPr>
                <w:p w14:paraId="6574D43C">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DN65</w:t>
                  </w:r>
                </w:p>
              </w:tc>
            </w:tr>
            <w:tr w14:paraId="1EAC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5EA37C95">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17</w:t>
                  </w:r>
                </w:p>
              </w:tc>
              <w:tc>
                <w:tcPr>
                  <w:tcW w:w="1096" w:type="dxa"/>
                  <w:shd w:val="clear" w:color="auto" w:fill="auto"/>
                  <w:vAlign w:val="center"/>
                </w:tcPr>
                <w:p w14:paraId="544A020A">
                  <w:pPr>
                    <w:keepNext w:val="0"/>
                    <w:keepLines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消火栓接头</w:t>
                  </w:r>
                </w:p>
              </w:tc>
              <w:tc>
                <w:tcPr>
                  <w:tcW w:w="2316" w:type="dxa"/>
                  <w:shd w:val="clear" w:color="auto" w:fill="auto"/>
                  <w:vAlign w:val="center"/>
                </w:tcPr>
                <w:p w14:paraId="403B2D3D">
                  <w:pPr>
                    <w:keepNext w:val="0"/>
                    <w:keepLines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SA"/>
                    </w:rPr>
                  </w:pPr>
                  <w:r>
                    <w:rPr>
                      <w:rFonts w:hint="eastAsia" w:ascii="宋体" w:hAnsi="宋体" w:eastAsia="宋体" w:cs="宋体"/>
                      <w:szCs w:val="21"/>
                    </w:rPr>
                    <w:t>国产</w:t>
                  </w:r>
                </w:p>
              </w:tc>
              <w:tc>
                <w:tcPr>
                  <w:tcW w:w="608" w:type="dxa"/>
                  <w:vAlign w:val="center"/>
                </w:tcPr>
                <w:p w14:paraId="4F8077BC">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37</w:t>
                  </w:r>
                </w:p>
              </w:tc>
              <w:tc>
                <w:tcPr>
                  <w:tcW w:w="1013" w:type="dxa"/>
                  <w:shd w:val="clear" w:color="auto" w:fill="auto"/>
                  <w:vAlign w:val="center"/>
                </w:tcPr>
                <w:p w14:paraId="38A220AA">
                  <w:pPr>
                    <w:keepNext w:val="0"/>
                    <w:keepLines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消火栓门</w:t>
                  </w:r>
                </w:p>
              </w:tc>
              <w:tc>
                <w:tcPr>
                  <w:tcW w:w="2316" w:type="dxa"/>
                  <w:vAlign w:val="center"/>
                </w:tcPr>
                <w:p w14:paraId="79911B76">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国产</w:t>
                  </w:r>
                </w:p>
              </w:tc>
            </w:tr>
            <w:tr w14:paraId="0BC5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46BBA8C6">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18</w:t>
                  </w:r>
                </w:p>
              </w:tc>
              <w:tc>
                <w:tcPr>
                  <w:tcW w:w="1096" w:type="dxa"/>
                  <w:shd w:val="clear" w:color="auto" w:fill="auto"/>
                  <w:vAlign w:val="center"/>
                </w:tcPr>
                <w:p w14:paraId="6DCE8DD5">
                  <w:pPr>
                    <w:keepNext w:val="0"/>
                    <w:keepLines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灭火器防水袋</w:t>
                  </w:r>
                </w:p>
              </w:tc>
              <w:tc>
                <w:tcPr>
                  <w:tcW w:w="2316" w:type="dxa"/>
                  <w:shd w:val="clear" w:color="auto" w:fill="auto"/>
                  <w:vAlign w:val="center"/>
                </w:tcPr>
                <w:p w14:paraId="5FD3AD7E">
                  <w:pPr>
                    <w:keepNext w:val="0"/>
                    <w:keepLines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SA"/>
                    </w:rPr>
                  </w:pPr>
                  <w:r>
                    <w:rPr>
                      <w:rFonts w:hint="eastAsia" w:ascii="宋体" w:hAnsi="宋体" w:eastAsia="宋体" w:cs="宋体"/>
                      <w:szCs w:val="21"/>
                    </w:rPr>
                    <w:t>国产</w:t>
                  </w:r>
                </w:p>
              </w:tc>
              <w:tc>
                <w:tcPr>
                  <w:tcW w:w="608" w:type="dxa"/>
                  <w:vAlign w:val="center"/>
                </w:tcPr>
                <w:p w14:paraId="01974C45">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38</w:t>
                  </w:r>
                </w:p>
              </w:tc>
              <w:tc>
                <w:tcPr>
                  <w:tcW w:w="1013" w:type="dxa"/>
                  <w:shd w:val="clear" w:color="auto" w:fill="auto"/>
                  <w:vAlign w:val="center"/>
                </w:tcPr>
                <w:p w14:paraId="6CDF57C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Cs w:val="21"/>
                    </w:rPr>
                    <w:t>闭门器</w:t>
                  </w:r>
                </w:p>
              </w:tc>
              <w:tc>
                <w:tcPr>
                  <w:tcW w:w="2316" w:type="dxa"/>
                  <w:shd w:val="clear" w:color="auto" w:fill="auto"/>
                  <w:vAlign w:val="center"/>
                </w:tcPr>
                <w:p w14:paraId="5FDE2863">
                  <w:pPr>
                    <w:keepNext w:val="0"/>
                    <w:keepLines w:val="0"/>
                    <w:widowControl/>
                    <w:suppressLineNumbers w:val="0"/>
                    <w:spacing w:before="0" w:beforeAutospacing="0" w:after="0" w:afterAutospacing="0" w:line="240" w:lineRule="auto"/>
                    <w:ind w:left="0" w:right="0"/>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Cs w:val="21"/>
                    </w:rPr>
                    <w:t>材质：铝合金，孔距：162*19mm，，承重25—45KG，适合范围：各种材质防火门。</w:t>
                  </w:r>
                </w:p>
              </w:tc>
            </w:tr>
            <w:tr w14:paraId="1094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6FD9A30A">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bookmarkStart w:id="1" w:name="OLE_LINK2" w:colFirst="4" w:colLast="5"/>
                  <w:r>
                    <w:rPr>
                      <w:rFonts w:hint="eastAsia" w:ascii="宋体" w:hAnsi="宋体" w:eastAsia="宋体" w:cs="宋体"/>
                      <w:szCs w:val="21"/>
                      <w:lang w:val="en-US" w:eastAsia="zh-CN"/>
                    </w:rPr>
                    <w:t>19</w:t>
                  </w:r>
                </w:p>
              </w:tc>
              <w:tc>
                <w:tcPr>
                  <w:tcW w:w="1096" w:type="dxa"/>
                  <w:shd w:val="clear" w:color="auto" w:fill="auto"/>
                  <w:vAlign w:val="center"/>
                </w:tcPr>
                <w:p w14:paraId="373DB4B8">
                  <w:pPr>
                    <w:keepNext w:val="0"/>
                    <w:keepLines w:val="0"/>
                    <w:widowControl/>
                    <w:suppressLineNumbers w:val="0"/>
                    <w:spacing w:before="0" w:beforeAutospacing="0" w:after="0" w:afterAutospacing="0" w:line="240" w:lineRule="auto"/>
                    <w:ind w:left="0" w:right="0"/>
                    <w:jc w:val="center"/>
                    <w:textAlignment w:val="center"/>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压力开关</w:t>
                  </w:r>
                </w:p>
              </w:tc>
              <w:tc>
                <w:tcPr>
                  <w:tcW w:w="2316" w:type="dxa"/>
                  <w:shd w:val="clear" w:color="auto" w:fill="auto"/>
                  <w:vAlign w:val="center"/>
                </w:tcPr>
                <w:p w14:paraId="4E39ECB7">
                  <w:pPr>
                    <w:keepNext w:val="0"/>
                    <w:keepLines w:val="0"/>
                    <w:widowControl/>
                    <w:suppressLineNumbers w:val="0"/>
                    <w:spacing w:before="0" w:beforeAutospacing="0" w:after="0" w:afterAutospacing="0" w:line="240" w:lineRule="auto"/>
                    <w:ind w:left="0" w:right="0"/>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rPr>
                    <w:t>型号规格:ZSJY1.6BP</w:t>
                  </w:r>
                </w:p>
                <w:p w14:paraId="36D23AC7">
                  <w:pPr>
                    <w:keepNext w:val="0"/>
                    <w:keepLines w:val="0"/>
                    <w:widowControl/>
                    <w:suppressLineNumbers w:val="0"/>
                    <w:spacing w:before="0" w:beforeAutospacing="0" w:after="0" w:afterAutospacing="0" w:line="240" w:lineRule="auto"/>
                    <w:ind w:left="0" w:right="0"/>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rPr>
                    <w:t>工作压力:1.6MPa</w:t>
                  </w:r>
                </w:p>
                <w:p w14:paraId="726FBE9F">
                  <w:pPr>
                    <w:keepNext w:val="0"/>
                    <w:keepLines w:val="0"/>
                    <w:widowControl/>
                    <w:suppressLineNumbers w:val="0"/>
                    <w:spacing w:before="0" w:beforeAutospacing="0" w:after="0" w:afterAutospacing="0" w:line="240" w:lineRule="auto"/>
                    <w:ind w:left="0" w:right="0"/>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rPr>
                    <w:t>动作压力:0.035-0.05MPa触点容量:0.5A125/250VAC</w:t>
                  </w:r>
                </w:p>
              </w:tc>
              <w:tc>
                <w:tcPr>
                  <w:tcW w:w="608" w:type="dxa"/>
                  <w:vAlign w:val="center"/>
                </w:tcPr>
                <w:p w14:paraId="3593F621">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39</w:t>
                  </w:r>
                </w:p>
              </w:tc>
              <w:tc>
                <w:tcPr>
                  <w:tcW w:w="1013" w:type="dxa"/>
                  <w:shd w:val="clear" w:color="auto" w:fill="auto"/>
                  <w:vAlign w:val="center"/>
                </w:tcPr>
                <w:p w14:paraId="411C1E80">
                  <w:pPr>
                    <w:keepNext w:val="0"/>
                    <w:keepLines w:val="0"/>
                    <w:widowControl/>
                    <w:suppressLineNumbers w:val="0"/>
                    <w:spacing w:before="0" w:beforeAutospacing="0" w:after="0" w:afterAutospacing="0" w:line="240" w:lineRule="auto"/>
                    <w:ind w:left="0" w:right="0"/>
                    <w:jc w:val="center"/>
                    <w:textAlignment w:val="center"/>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延迟器</w:t>
                  </w:r>
                </w:p>
              </w:tc>
              <w:tc>
                <w:tcPr>
                  <w:tcW w:w="2316" w:type="dxa"/>
                  <w:shd w:val="clear" w:color="auto" w:fill="auto"/>
                  <w:vAlign w:val="center"/>
                </w:tcPr>
                <w:p w14:paraId="5FA7CF93">
                  <w:pPr>
                    <w:keepNext w:val="0"/>
                    <w:keepLines w:val="0"/>
                    <w:widowControl/>
                    <w:suppressLineNumbers w:val="0"/>
                    <w:spacing w:before="0" w:beforeAutospacing="0" w:after="0" w:afterAutospacing="0" w:line="240" w:lineRule="auto"/>
                    <w:ind w:left="0" w:right="0"/>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rPr>
                    <w:t>DN20</w:t>
                  </w:r>
                </w:p>
              </w:tc>
            </w:tr>
            <w:tr w14:paraId="7C6B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416F1B3E">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20</w:t>
                  </w:r>
                </w:p>
              </w:tc>
              <w:tc>
                <w:tcPr>
                  <w:tcW w:w="1096" w:type="dxa"/>
                  <w:shd w:val="clear" w:color="auto" w:fill="auto"/>
                  <w:vAlign w:val="center"/>
                </w:tcPr>
                <w:p w14:paraId="7828C4BB">
                  <w:pPr>
                    <w:keepNext w:val="0"/>
                    <w:keepLines w:val="0"/>
                    <w:widowControl/>
                    <w:suppressLineNumbers w:val="0"/>
                    <w:spacing w:before="0" w:beforeAutospacing="0" w:after="0" w:afterAutospacing="0" w:line="240" w:lineRule="auto"/>
                    <w:ind w:left="0" w:right="0"/>
                    <w:jc w:val="center"/>
                    <w:textAlignment w:val="center"/>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消火栓栓头</w:t>
                  </w:r>
                </w:p>
              </w:tc>
              <w:tc>
                <w:tcPr>
                  <w:tcW w:w="2316" w:type="dxa"/>
                  <w:shd w:val="clear" w:color="auto" w:fill="auto"/>
                  <w:vAlign w:val="center"/>
                </w:tcPr>
                <w:p w14:paraId="664FDEB9">
                  <w:pPr>
                    <w:keepNext w:val="0"/>
                    <w:keepLines w:val="0"/>
                    <w:widowControl/>
                    <w:suppressLineNumbers w:val="0"/>
                    <w:spacing w:before="0" w:beforeAutospacing="0" w:after="0" w:afterAutospacing="0" w:line="240" w:lineRule="auto"/>
                    <w:ind w:left="0" w:right="0"/>
                    <w:textAlignment w:val="center"/>
                    <w:rPr>
                      <w:rFonts w:hint="default" w:ascii="宋体" w:hAnsi="宋体" w:eastAsia="宋体" w:cs="宋体"/>
                      <w:color w:val="000000"/>
                      <w:kern w:val="0"/>
                      <w:szCs w:val="21"/>
                      <w:lang w:val="en-US"/>
                    </w:rPr>
                  </w:pPr>
                  <w:r>
                    <w:rPr>
                      <w:rFonts w:hint="default" w:ascii="宋体" w:hAnsi="宋体" w:eastAsia="宋体" w:cs="宋体"/>
                      <w:color w:val="000000"/>
                      <w:kern w:val="0"/>
                      <w:szCs w:val="21"/>
                      <w:lang w:val="en-US"/>
                    </w:rPr>
                    <w:t>DN65</w:t>
                  </w:r>
                </w:p>
              </w:tc>
              <w:tc>
                <w:tcPr>
                  <w:tcW w:w="608" w:type="dxa"/>
                  <w:vAlign w:val="center"/>
                </w:tcPr>
                <w:p w14:paraId="4FFA7BA3">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40</w:t>
                  </w:r>
                </w:p>
              </w:tc>
              <w:tc>
                <w:tcPr>
                  <w:tcW w:w="1013" w:type="dxa"/>
                  <w:shd w:val="clear" w:color="auto" w:fill="auto"/>
                  <w:vAlign w:val="center"/>
                </w:tcPr>
                <w:p w14:paraId="62CCD795">
                  <w:pPr>
                    <w:keepNext w:val="0"/>
                    <w:keepLines w:val="0"/>
                    <w:widowControl/>
                    <w:suppressLineNumbers w:val="0"/>
                    <w:spacing w:before="0" w:beforeAutospacing="0" w:after="0" w:afterAutospacing="0" w:line="240" w:lineRule="auto"/>
                    <w:ind w:left="0" w:right="0"/>
                    <w:jc w:val="center"/>
                    <w:textAlignment w:val="center"/>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防火门</w:t>
                  </w:r>
                  <w:r>
                    <w:rPr>
                      <w:rFonts w:hint="default" w:ascii="宋体" w:hAnsi="宋体" w:eastAsia="宋体" w:cs="宋体"/>
                      <w:color w:val="000000"/>
                      <w:kern w:val="0"/>
                      <w:szCs w:val="21"/>
                      <w:lang w:eastAsia="zh-CN"/>
                    </w:rPr>
                    <w:t>合页</w:t>
                  </w:r>
                </w:p>
              </w:tc>
              <w:tc>
                <w:tcPr>
                  <w:tcW w:w="2316" w:type="dxa"/>
                  <w:shd w:val="clear" w:color="auto" w:fill="auto"/>
                  <w:vAlign w:val="center"/>
                </w:tcPr>
                <w:p w14:paraId="4C848641">
                  <w:pPr>
                    <w:keepNext w:val="0"/>
                    <w:keepLines w:val="0"/>
                    <w:widowControl/>
                    <w:suppressLineNumbers w:val="0"/>
                    <w:spacing w:before="0" w:beforeAutospacing="0" w:after="0" w:afterAutospacing="0" w:line="240" w:lineRule="auto"/>
                    <w:ind w:left="0" w:right="0"/>
                    <w:textAlignment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w:t>
                  </w:r>
                </w:p>
              </w:tc>
            </w:tr>
            <w:tr w14:paraId="2121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3EA67E51">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21</w:t>
                  </w:r>
                </w:p>
              </w:tc>
              <w:tc>
                <w:tcPr>
                  <w:tcW w:w="1096" w:type="dxa"/>
                  <w:shd w:val="clear" w:color="auto" w:fill="auto"/>
                  <w:vAlign w:val="center"/>
                </w:tcPr>
                <w:p w14:paraId="25063DC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Cs w:val="21"/>
                      <w:lang w:val="en-US" w:eastAsia="zh-CN"/>
                    </w:rPr>
                    <w:t>继电器</w:t>
                  </w:r>
                </w:p>
              </w:tc>
              <w:tc>
                <w:tcPr>
                  <w:tcW w:w="2316" w:type="dxa"/>
                  <w:shd w:val="clear" w:color="auto" w:fill="auto"/>
                  <w:vAlign w:val="center"/>
                </w:tcPr>
                <w:p w14:paraId="5B37853D">
                  <w:pPr>
                    <w:keepNext w:val="0"/>
                    <w:keepLines w:val="0"/>
                    <w:widowControl/>
                    <w:suppressLineNumbers w:val="0"/>
                    <w:spacing w:before="0" w:beforeAutospacing="0" w:after="0" w:afterAutospacing="0" w:line="240" w:lineRule="auto"/>
                    <w:ind w:left="0" w:right="0"/>
                    <w:textAlignment w:val="center"/>
                    <w:rPr>
                      <w:rFonts w:hint="default" w:ascii="宋体" w:hAnsi="宋体" w:eastAsia="宋体" w:cs="宋体"/>
                      <w:color w:val="000000"/>
                      <w:kern w:val="0"/>
                      <w:sz w:val="21"/>
                      <w:szCs w:val="21"/>
                      <w:lang w:val="en-US" w:eastAsia="zh-CN" w:bidi="ar-SA"/>
                    </w:rPr>
                  </w:pPr>
                  <w:r>
                    <w:rPr>
                      <w:rFonts w:hint="default" w:ascii="宋体" w:hAnsi="宋体" w:eastAsia="宋体" w:cs="宋体"/>
                      <w:color w:val="000000"/>
                      <w:kern w:val="0"/>
                      <w:sz w:val="21"/>
                      <w:szCs w:val="21"/>
                      <w:lang w:val="en-US" w:eastAsia="zh-CN" w:bidi="ar-SA"/>
                    </w:rPr>
                    <w:t>AC24/DC24</w:t>
                  </w:r>
                </w:p>
              </w:tc>
              <w:tc>
                <w:tcPr>
                  <w:tcW w:w="608" w:type="dxa"/>
                  <w:shd w:val="clear" w:color="auto" w:fill="auto"/>
                  <w:vAlign w:val="center"/>
                </w:tcPr>
                <w:p w14:paraId="340389D7">
                  <w:pPr>
                    <w:keepNext w:val="0"/>
                    <w:keepLines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41</w:t>
                  </w:r>
                </w:p>
              </w:tc>
              <w:tc>
                <w:tcPr>
                  <w:tcW w:w="1013" w:type="dxa"/>
                  <w:shd w:val="clear" w:color="auto" w:fill="auto"/>
                  <w:vAlign w:val="center"/>
                </w:tcPr>
                <w:p w14:paraId="2B979DB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val="en-US" w:eastAsia="zh-CN" w:bidi="ar-SA"/>
                    </w:rPr>
                  </w:pPr>
                  <w:r>
                    <w:rPr>
                      <w:rFonts w:hint="default" w:ascii="宋体" w:hAnsi="宋体" w:eastAsia="宋体" w:cs="宋体"/>
                      <w:color w:val="000000"/>
                      <w:kern w:val="0"/>
                      <w:szCs w:val="21"/>
                      <w:lang w:eastAsia="zh-CN"/>
                    </w:rPr>
                    <w:t>编码</w:t>
                  </w:r>
                  <w:r>
                    <w:rPr>
                      <w:rFonts w:hint="eastAsia" w:ascii="宋体" w:hAnsi="宋体" w:eastAsia="宋体" w:cs="宋体"/>
                      <w:color w:val="000000"/>
                      <w:kern w:val="0"/>
                      <w:szCs w:val="21"/>
                      <w:lang w:val="en-US" w:eastAsia="zh-CN"/>
                    </w:rPr>
                    <w:t>标识条</w:t>
                  </w:r>
                </w:p>
              </w:tc>
              <w:tc>
                <w:tcPr>
                  <w:tcW w:w="2316" w:type="dxa"/>
                  <w:shd w:val="clear" w:color="auto" w:fill="auto"/>
                  <w:vAlign w:val="center"/>
                </w:tcPr>
                <w:p w14:paraId="7C8F2DEC">
                  <w:pPr>
                    <w:keepNext w:val="0"/>
                    <w:keepLines w:val="0"/>
                    <w:widowControl/>
                    <w:suppressLineNumbers w:val="0"/>
                    <w:spacing w:before="0" w:beforeAutospacing="0" w:after="0" w:afterAutospacing="0" w:line="240" w:lineRule="auto"/>
                    <w:ind w:left="0" w:right="0"/>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背胶贴纸</w:t>
                  </w:r>
                </w:p>
              </w:tc>
            </w:tr>
            <w:tr w14:paraId="7D6C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394966A6">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22</w:t>
                  </w:r>
                </w:p>
              </w:tc>
              <w:tc>
                <w:tcPr>
                  <w:tcW w:w="1096" w:type="dxa"/>
                  <w:shd w:val="clear" w:color="auto" w:fill="auto"/>
                  <w:vAlign w:val="center"/>
                </w:tcPr>
                <w:p w14:paraId="4C0A6A3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Cs w:val="21"/>
                    </w:rPr>
                    <w:t>开关电源</w:t>
                  </w:r>
                </w:p>
              </w:tc>
              <w:tc>
                <w:tcPr>
                  <w:tcW w:w="2316" w:type="dxa"/>
                  <w:shd w:val="clear" w:color="auto" w:fill="auto"/>
                  <w:vAlign w:val="center"/>
                </w:tcPr>
                <w:p w14:paraId="248C2C6A">
                  <w:pPr>
                    <w:keepNext w:val="0"/>
                    <w:keepLines w:val="0"/>
                    <w:widowControl/>
                    <w:suppressLineNumbers w:val="0"/>
                    <w:spacing w:before="0" w:beforeAutospacing="0" w:after="0" w:afterAutospacing="0" w:line="240" w:lineRule="auto"/>
                    <w:ind w:left="0" w:right="0"/>
                    <w:textAlignment w:val="center"/>
                    <w:rPr>
                      <w:rFonts w:hint="default" w:ascii="宋体" w:hAnsi="宋体" w:eastAsia="宋体" w:cs="宋体"/>
                      <w:color w:val="000000"/>
                      <w:kern w:val="0"/>
                      <w:sz w:val="21"/>
                      <w:szCs w:val="21"/>
                      <w:lang w:val="en-US" w:eastAsia="zh-CN" w:bidi="ar-SA"/>
                    </w:rPr>
                  </w:pPr>
                  <w:r>
                    <w:rPr>
                      <w:rFonts w:hint="eastAsia" w:ascii="宋体" w:hAnsi="宋体" w:eastAsia="宋体" w:cs="宋体"/>
                      <w:color w:val="000000"/>
                      <w:kern w:val="0"/>
                      <w:szCs w:val="21"/>
                    </w:rPr>
                    <w:t>材质：铝合金外壳，型号：输入AC220V 输出24V 20A</w:t>
                  </w:r>
                </w:p>
              </w:tc>
              <w:tc>
                <w:tcPr>
                  <w:tcW w:w="608" w:type="dxa"/>
                  <w:shd w:val="clear" w:color="auto" w:fill="auto"/>
                  <w:vAlign w:val="center"/>
                </w:tcPr>
                <w:p w14:paraId="7C6A8B3A">
                  <w:pPr>
                    <w:keepNext w:val="0"/>
                    <w:keepLines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42</w:t>
                  </w:r>
                </w:p>
              </w:tc>
              <w:tc>
                <w:tcPr>
                  <w:tcW w:w="1013" w:type="dxa"/>
                  <w:shd w:val="clear" w:color="auto" w:fill="auto"/>
                  <w:vAlign w:val="center"/>
                </w:tcPr>
                <w:p w14:paraId="3A8A2F8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Cs w:val="21"/>
                      <w:lang w:val="en-US" w:eastAsia="zh-CN"/>
                    </w:rPr>
                    <w:t>声光报警器</w:t>
                  </w:r>
                </w:p>
              </w:tc>
              <w:tc>
                <w:tcPr>
                  <w:tcW w:w="2316" w:type="dxa"/>
                  <w:shd w:val="clear" w:color="auto" w:fill="auto"/>
                  <w:vAlign w:val="center"/>
                </w:tcPr>
                <w:p w14:paraId="774C47C5">
                  <w:pPr>
                    <w:keepNext w:val="0"/>
                    <w:keepLines w:val="0"/>
                    <w:widowControl/>
                    <w:suppressLineNumbers w:val="0"/>
                    <w:spacing w:before="0" w:beforeAutospacing="0" w:after="0" w:afterAutospacing="0" w:line="240" w:lineRule="auto"/>
                    <w:ind w:left="0" w:right="0"/>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型号：JBF5176A、JBF2172</w:t>
                  </w:r>
                </w:p>
              </w:tc>
            </w:tr>
            <w:tr w14:paraId="5F30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70252F18">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23</w:t>
                  </w:r>
                </w:p>
              </w:tc>
              <w:tc>
                <w:tcPr>
                  <w:tcW w:w="1096" w:type="dxa"/>
                  <w:shd w:val="clear" w:color="auto" w:fill="auto"/>
                  <w:vAlign w:val="center"/>
                </w:tcPr>
                <w:p w14:paraId="03FBDC9D">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浮球阀</w:t>
                  </w:r>
                  <w:r>
                    <w:rPr>
                      <w:rFonts w:hint="default" w:ascii="宋体" w:hAnsi="宋体" w:eastAsia="宋体" w:cs="宋体"/>
                      <w:color w:val="000000"/>
                      <w:kern w:val="0"/>
                      <w:szCs w:val="21"/>
                      <w:lang w:val="en-US" w:eastAsia="zh-CN"/>
                    </w:rPr>
                    <w:t>DN50</w:t>
                  </w:r>
                </w:p>
              </w:tc>
              <w:tc>
                <w:tcPr>
                  <w:tcW w:w="2316" w:type="dxa"/>
                  <w:shd w:val="clear" w:color="auto" w:fill="auto"/>
                  <w:vAlign w:val="center"/>
                </w:tcPr>
                <w:p w14:paraId="7CC63A68">
                  <w:pPr>
                    <w:keepNext w:val="0"/>
                    <w:keepLines w:val="0"/>
                    <w:widowControl/>
                    <w:suppressLineNumbers w:val="0"/>
                    <w:spacing w:before="0" w:beforeAutospacing="0" w:after="0" w:afterAutospacing="0" w:line="240" w:lineRule="auto"/>
                    <w:ind w:left="0" w:right="0"/>
                    <w:textAlignment w:val="center"/>
                    <w:rPr>
                      <w:rFonts w:hint="default" w:ascii="宋体" w:hAnsi="宋体" w:eastAsia="宋体" w:cs="宋体"/>
                      <w:color w:val="000000"/>
                      <w:kern w:val="0"/>
                      <w:sz w:val="21"/>
                      <w:szCs w:val="21"/>
                      <w:lang w:val="en-US" w:eastAsia="zh-CN" w:bidi="ar-SA"/>
                    </w:rPr>
                  </w:pPr>
                  <w:r>
                    <w:rPr>
                      <w:rFonts w:hint="eastAsia" w:ascii="宋体" w:hAnsi="宋体" w:eastAsia="宋体" w:cs="宋体"/>
                      <w:color w:val="000000"/>
                      <w:kern w:val="0"/>
                      <w:szCs w:val="21"/>
                    </w:rPr>
                    <w:t>DN50.铜制</w:t>
                  </w:r>
                </w:p>
              </w:tc>
              <w:tc>
                <w:tcPr>
                  <w:tcW w:w="608" w:type="dxa"/>
                  <w:shd w:val="clear" w:color="auto" w:fill="auto"/>
                  <w:vAlign w:val="center"/>
                </w:tcPr>
                <w:p w14:paraId="710D68E0">
                  <w:pPr>
                    <w:keepNext w:val="0"/>
                    <w:keepLines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43</w:t>
                  </w:r>
                </w:p>
              </w:tc>
              <w:tc>
                <w:tcPr>
                  <w:tcW w:w="1013" w:type="dxa"/>
                  <w:shd w:val="clear" w:color="auto" w:fill="auto"/>
                  <w:vAlign w:val="center"/>
                </w:tcPr>
                <w:p w14:paraId="4D6B997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水力警铃</w:t>
                  </w:r>
                </w:p>
              </w:tc>
              <w:tc>
                <w:tcPr>
                  <w:tcW w:w="2316" w:type="dxa"/>
                  <w:shd w:val="clear" w:color="auto" w:fill="auto"/>
                  <w:vAlign w:val="center"/>
                </w:tcPr>
                <w:p w14:paraId="56ADA3D7">
                  <w:pPr>
                    <w:keepNext w:val="0"/>
                    <w:keepLines w:val="0"/>
                    <w:widowControl/>
                    <w:suppressLineNumbers w:val="0"/>
                    <w:spacing w:before="0" w:beforeAutospacing="0" w:after="0" w:afterAutospacing="0" w:line="240" w:lineRule="auto"/>
                    <w:ind w:left="0" w:right="0"/>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Cs w:val="21"/>
                    </w:rPr>
                    <w:t>额定压</w:t>
                  </w:r>
                  <w:r>
                    <w:rPr>
                      <w:rFonts w:hint="eastAsia" w:ascii="宋体" w:hAnsi="宋体" w:eastAsia="宋体" w:cs="宋体"/>
                      <w:color w:val="000000"/>
                      <w:kern w:val="0"/>
                      <w:szCs w:val="21"/>
                      <w:lang w:eastAsia="zh-CN"/>
                    </w:rPr>
                    <w:t>力</w:t>
                  </w:r>
                  <w:r>
                    <w:rPr>
                      <w:rFonts w:hint="eastAsia" w:ascii="宋体" w:hAnsi="宋体" w:eastAsia="宋体" w:cs="宋体"/>
                      <w:color w:val="000000"/>
                      <w:kern w:val="0"/>
                      <w:szCs w:val="21"/>
                    </w:rPr>
                    <w:t>0.035~1.6MPa</w:t>
                  </w:r>
                </w:p>
              </w:tc>
            </w:tr>
            <w:tr w14:paraId="5369D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Align w:val="center"/>
                </w:tcPr>
                <w:p w14:paraId="5826F337">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24</w:t>
                  </w:r>
                </w:p>
              </w:tc>
              <w:tc>
                <w:tcPr>
                  <w:tcW w:w="1096" w:type="dxa"/>
                  <w:shd w:val="clear" w:color="auto" w:fill="auto"/>
                  <w:vAlign w:val="center"/>
                </w:tcPr>
                <w:p w14:paraId="67F1FBD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警铃</w:t>
                  </w:r>
                </w:p>
              </w:tc>
              <w:tc>
                <w:tcPr>
                  <w:tcW w:w="2316" w:type="dxa"/>
                  <w:shd w:val="clear" w:color="auto" w:fill="auto"/>
                  <w:vAlign w:val="center"/>
                </w:tcPr>
                <w:p w14:paraId="0FD9A8FB">
                  <w:pPr>
                    <w:keepNext w:val="0"/>
                    <w:keepLines w:val="0"/>
                    <w:widowControl/>
                    <w:suppressLineNumbers w:val="0"/>
                    <w:spacing w:before="0" w:beforeAutospacing="0" w:after="0" w:afterAutospacing="0" w:line="240" w:lineRule="auto"/>
                    <w:ind w:left="0" w:right="0"/>
                    <w:textAlignment w:val="center"/>
                    <w:rPr>
                      <w:rFonts w:hint="default" w:ascii="宋体" w:hAnsi="宋体" w:eastAsia="宋体" w:cs="宋体"/>
                      <w:color w:val="000000"/>
                      <w:kern w:val="0"/>
                      <w:sz w:val="21"/>
                      <w:szCs w:val="21"/>
                      <w:lang w:val="en-US" w:eastAsia="zh-CN" w:bidi="ar-SA"/>
                    </w:rPr>
                  </w:pPr>
                  <w:r>
                    <w:rPr>
                      <w:rFonts w:hint="default" w:ascii="宋体" w:hAnsi="宋体" w:eastAsia="宋体" w:cs="宋体"/>
                      <w:color w:val="000000"/>
                      <w:kern w:val="0"/>
                      <w:sz w:val="21"/>
                      <w:szCs w:val="21"/>
                      <w:lang w:val="en-US" w:eastAsia="zh-CN" w:bidi="ar-SA"/>
                    </w:rPr>
                    <w:t>电压：24v，声压级75~120dB</w:t>
                  </w:r>
                </w:p>
              </w:tc>
              <w:tc>
                <w:tcPr>
                  <w:tcW w:w="608" w:type="dxa"/>
                  <w:shd w:val="clear" w:color="auto" w:fill="auto"/>
                  <w:vAlign w:val="center"/>
                </w:tcPr>
                <w:p w14:paraId="537E4683">
                  <w:pPr>
                    <w:keepNext w:val="0"/>
                    <w:keepLines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SA"/>
                    </w:rPr>
                  </w:pPr>
                </w:p>
              </w:tc>
              <w:tc>
                <w:tcPr>
                  <w:tcW w:w="1013" w:type="dxa"/>
                  <w:shd w:val="clear" w:color="auto" w:fill="auto"/>
                  <w:vAlign w:val="center"/>
                </w:tcPr>
                <w:p w14:paraId="7774019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Cs w:val="21"/>
                    </w:rPr>
                    <w:t>开关电源</w:t>
                  </w:r>
                </w:p>
              </w:tc>
              <w:tc>
                <w:tcPr>
                  <w:tcW w:w="2316" w:type="dxa"/>
                  <w:shd w:val="clear" w:color="auto" w:fill="auto"/>
                  <w:vAlign w:val="center"/>
                </w:tcPr>
                <w:p w14:paraId="22A1CDB4">
                  <w:pPr>
                    <w:keepNext w:val="0"/>
                    <w:keepLines w:val="0"/>
                    <w:widowControl/>
                    <w:suppressLineNumbers w:val="0"/>
                    <w:spacing w:before="0" w:beforeAutospacing="0" w:after="0" w:afterAutospacing="0" w:line="240" w:lineRule="auto"/>
                    <w:ind w:left="0" w:right="0"/>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Cs w:val="21"/>
                    </w:rPr>
                    <w:t>材质：铝合金外壳，型号：输入AC220V 输出24V 10A</w:t>
                  </w:r>
                </w:p>
              </w:tc>
            </w:tr>
            <w:bookmarkEnd w:id="1"/>
          </w:tbl>
          <w:p w14:paraId="46C9D5B1">
            <w:pPr>
              <w:keepNext w:val="0"/>
              <w:keepLines w:val="0"/>
              <w:suppressLineNumbers w:val="0"/>
              <w:spacing w:before="0" w:beforeAutospacing="0" w:after="0" w:afterAutospacing="0"/>
              <w:ind w:left="0" w:right="0"/>
              <w:rPr>
                <w:rFonts w:hint="default" w:asciiTheme="minorEastAsia" w:hAnsiTheme="minorEastAsia"/>
                <w:bCs/>
                <w:szCs w:val="21"/>
              </w:rPr>
            </w:pPr>
          </w:p>
        </w:tc>
      </w:tr>
      <w:tr w14:paraId="5BD9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5" w:type="pct"/>
            <w:vAlign w:val="center"/>
          </w:tcPr>
          <w:p w14:paraId="31BD8E38">
            <w:pPr>
              <w:keepNext w:val="0"/>
              <w:keepLines w:val="0"/>
              <w:suppressLineNumbers w:val="0"/>
              <w:spacing w:before="0" w:beforeAutospacing="0" w:after="0" w:afterAutospacing="0"/>
              <w:ind w:left="0" w:right="0"/>
              <w:jc w:val="center"/>
              <w:rPr>
                <w:rFonts w:hint="default" w:asciiTheme="minorEastAsia" w:hAnsiTheme="minorEastAsia"/>
                <w:color w:val="FF0000"/>
                <w:szCs w:val="21"/>
              </w:rPr>
            </w:pPr>
          </w:p>
        </w:tc>
        <w:tc>
          <w:tcPr>
            <w:tcW w:w="303" w:type="pct"/>
            <w:vAlign w:val="center"/>
          </w:tcPr>
          <w:p w14:paraId="69A9CF9B">
            <w:pPr>
              <w:keepNext w:val="0"/>
              <w:keepLines w:val="0"/>
              <w:suppressLineNumbers w:val="0"/>
              <w:spacing w:before="0" w:beforeAutospacing="0" w:after="0" w:afterAutospacing="0"/>
              <w:ind w:left="0" w:right="0"/>
              <w:jc w:val="center"/>
              <w:rPr>
                <w:rFonts w:hint="eastAsia" w:asciiTheme="minorEastAsia" w:hAnsiTheme="minorEastAsia"/>
                <w:szCs w:val="21"/>
              </w:rPr>
            </w:pPr>
          </w:p>
          <w:p w14:paraId="01C9363B">
            <w:pPr>
              <w:keepNext w:val="0"/>
              <w:keepLines w:val="0"/>
              <w:suppressLineNumbers w:val="0"/>
              <w:spacing w:before="0" w:beforeAutospacing="0" w:after="0" w:afterAutospacing="0"/>
              <w:ind w:left="0" w:right="0"/>
              <w:jc w:val="center"/>
              <w:rPr>
                <w:rFonts w:hint="eastAsia" w:asciiTheme="minorEastAsia" w:hAnsiTheme="minorEastAsia"/>
                <w:szCs w:val="21"/>
              </w:rPr>
            </w:pPr>
          </w:p>
          <w:p w14:paraId="43189F8B">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6</w:t>
            </w:r>
          </w:p>
        </w:tc>
        <w:tc>
          <w:tcPr>
            <w:tcW w:w="4291" w:type="pct"/>
            <w:vAlign w:val="center"/>
          </w:tcPr>
          <w:p w14:paraId="3FC19CB8">
            <w:pPr>
              <w:pStyle w:val="9"/>
              <w:keepNext w:val="0"/>
              <w:keepLines w:val="0"/>
              <w:suppressLineNumbers w:val="0"/>
              <w:spacing w:before="0" w:beforeAutospacing="0" w:after="0" w:afterAutospacing="0"/>
              <w:ind w:left="0" w:right="0"/>
              <w:rPr>
                <w:rFonts w:hint="eastAsia" w:hAnsi="宋体" w:cs="宋体"/>
                <w:b/>
                <w:bCs/>
                <w:szCs w:val="21"/>
              </w:rPr>
            </w:pPr>
          </w:p>
          <w:p w14:paraId="4CE22F18">
            <w:pPr>
              <w:pStyle w:val="9"/>
              <w:keepNext w:val="0"/>
              <w:keepLines w:val="0"/>
              <w:suppressLineNumbers w:val="0"/>
              <w:spacing w:before="0" w:beforeAutospacing="0" w:after="0" w:afterAutospacing="0"/>
              <w:ind w:left="0" w:right="0"/>
              <w:rPr>
                <w:rFonts w:hint="eastAsia" w:hAnsi="宋体" w:cs="宋体"/>
                <w:b/>
                <w:bCs/>
                <w:szCs w:val="21"/>
              </w:rPr>
            </w:pPr>
          </w:p>
          <w:p w14:paraId="023F68E1">
            <w:pPr>
              <w:pStyle w:val="9"/>
              <w:keepNext w:val="0"/>
              <w:keepLines w:val="0"/>
              <w:suppressLineNumbers w:val="0"/>
              <w:spacing w:before="0" w:beforeAutospacing="0" w:after="0" w:afterAutospacing="0"/>
              <w:ind w:left="0" w:right="0"/>
              <w:rPr>
                <w:rFonts w:hint="default" w:hAnsi="宋体" w:cs="宋体"/>
                <w:b/>
                <w:bCs/>
                <w:szCs w:val="21"/>
              </w:rPr>
            </w:pPr>
            <w:r>
              <w:rPr>
                <w:rFonts w:hint="eastAsia" w:hAnsi="宋体" w:cs="宋体"/>
                <w:b/>
                <w:bCs/>
                <w:szCs w:val="21"/>
              </w:rPr>
              <w:t>附表2：</w:t>
            </w:r>
            <w:r>
              <w:rPr>
                <w:rFonts w:hint="eastAsia" w:hAnsi="宋体" w:cs="宋体"/>
                <w:b/>
                <w:bCs/>
                <w:szCs w:val="21"/>
                <w:lang w:eastAsia="zh-CN"/>
              </w:rPr>
              <w:t>广州医科大学附属番禺中心医院</w:t>
            </w:r>
            <w:r>
              <w:rPr>
                <w:rFonts w:hint="eastAsia" w:hAnsi="宋体" w:cs="宋体"/>
                <w:b/>
                <w:bCs/>
                <w:szCs w:val="21"/>
              </w:rPr>
              <w:t>部分消防设备设施数量（仅作参考，以现场实际为准）</w:t>
            </w:r>
          </w:p>
          <w:tbl>
            <w:tblPr>
              <w:tblStyle w:val="16"/>
              <w:tblW w:w="7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1635"/>
              <w:gridCol w:w="1636"/>
              <w:gridCol w:w="754"/>
              <w:gridCol w:w="1771"/>
              <w:gridCol w:w="1424"/>
            </w:tblGrid>
            <w:tr w14:paraId="6056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tcPr>
                <w:p w14:paraId="36227A74">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序号</w:t>
                  </w:r>
                </w:p>
              </w:tc>
              <w:tc>
                <w:tcPr>
                  <w:tcW w:w="1635" w:type="dxa"/>
                </w:tcPr>
                <w:p w14:paraId="2D31407E">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设备设施名称</w:t>
                  </w:r>
                </w:p>
              </w:tc>
              <w:tc>
                <w:tcPr>
                  <w:tcW w:w="1636" w:type="dxa"/>
                </w:tcPr>
                <w:p w14:paraId="08E507E5">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数量</w:t>
                  </w:r>
                </w:p>
              </w:tc>
              <w:tc>
                <w:tcPr>
                  <w:tcW w:w="754" w:type="dxa"/>
                </w:tcPr>
                <w:p w14:paraId="591A7F1D">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序号</w:t>
                  </w:r>
                </w:p>
              </w:tc>
              <w:tc>
                <w:tcPr>
                  <w:tcW w:w="1771" w:type="dxa"/>
                </w:tcPr>
                <w:p w14:paraId="0A420D64">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设备设施名称</w:t>
                  </w:r>
                </w:p>
              </w:tc>
              <w:tc>
                <w:tcPr>
                  <w:tcW w:w="1424" w:type="dxa"/>
                </w:tcPr>
                <w:p w14:paraId="7402474F">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数量</w:t>
                  </w:r>
                </w:p>
              </w:tc>
            </w:tr>
            <w:tr w14:paraId="568D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tcPr>
                <w:p w14:paraId="485E793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w:t>
                  </w:r>
                </w:p>
              </w:tc>
              <w:tc>
                <w:tcPr>
                  <w:tcW w:w="1635" w:type="dxa"/>
                </w:tcPr>
                <w:p w14:paraId="05C979C3">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灭火器</w:t>
                  </w:r>
                </w:p>
              </w:tc>
              <w:tc>
                <w:tcPr>
                  <w:tcW w:w="1636" w:type="dxa"/>
                </w:tcPr>
                <w:p w14:paraId="744FBC39">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2052</w:t>
                  </w:r>
                </w:p>
              </w:tc>
              <w:tc>
                <w:tcPr>
                  <w:tcW w:w="754" w:type="dxa"/>
                </w:tcPr>
                <w:p w14:paraId="2323CA47">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6</w:t>
                  </w:r>
                </w:p>
              </w:tc>
              <w:tc>
                <w:tcPr>
                  <w:tcW w:w="1771" w:type="dxa"/>
                </w:tcPr>
                <w:p w14:paraId="5D4933C3">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消防广播喇叭</w:t>
                  </w:r>
                </w:p>
              </w:tc>
              <w:tc>
                <w:tcPr>
                  <w:tcW w:w="1424" w:type="dxa"/>
                </w:tcPr>
                <w:p w14:paraId="56D6983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806</w:t>
                  </w:r>
                </w:p>
              </w:tc>
            </w:tr>
            <w:tr w14:paraId="57D3B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tcPr>
                <w:p w14:paraId="13475F55">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2</w:t>
                  </w:r>
                </w:p>
              </w:tc>
              <w:tc>
                <w:tcPr>
                  <w:tcW w:w="1635" w:type="dxa"/>
                </w:tcPr>
                <w:p w14:paraId="074B472F">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消火栓</w:t>
                  </w:r>
                </w:p>
              </w:tc>
              <w:tc>
                <w:tcPr>
                  <w:tcW w:w="1636" w:type="dxa"/>
                </w:tcPr>
                <w:p w14:paraId="1D1C103A">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1169</w:t>
                  </w:r>
                </w:p>
              </w:tc>
              <w:tc>
                <w:tcPr>
                  <w:tcW w:w="754" w:type="dxa"/>
                </w:tcPr>
                <w:p w14:paraId="77ACE844">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7</w:t>
                  </w:r>
                </w:p>
              </w:tc>
              <w:tc>
                <w:tcPr>
                  <w:tcW w:w="1771" w:type="dxa"/>
                </w:tcPr>
                <w:p w14:paraId="09EDB929">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单输入模块</w:t>
                  </w:r>
                </w:p>
              </w:tc>
              <w:tc>
                <w:tcPr>
                  <w:tcW w:w="1424" w:type="dxa"/>
                </w:tcPr>
                <w:p w14:paraId="42744E23">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656</w:t>
                  </w:r>
                </w:p>
              </w:tc>
            </w:tr>
            <w:tr w14:paraId="0B5B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tcPr>
                <w:p w14:paraId="6BA70458">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3</w:t>
                  </w:r>
                </w:p>
              </w:tc>
              <w:tc>
                <w:tcPr>
                  <w:tcW w:w="1635" w:type="dxa"/>
                </w:tcPr>
                <w:p w14:paraId="7D8349C7">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烟感</w:t>
                  </w:r>
                </w:p>
              </w:tc>
              <w:tc>
                <w:tcPr>
                  <w:tcW w:w="1636" w:type="dxa"/>
                </w:tcPr>
                <w:p w14:paraId="225DFE01">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6682</w:t>
                  </w:r>
                </w:p>
              </w:tc>
              <w:tc>
                <w:tcPr>
                  <w:tcW w:w="754" w:type="dxa"/>
                </w:tcPr>
                <w:p w14:paraId="7BB62806">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8</w:t>
                  </w:r>
                </w:p>
              </w:tc>
              <w:tc>
                <w:tcPr>
                  <w:tcW w:w="1771" w:type="dxa"/>
                </w:tcPr>
                <w:p w14:paraId="1A85D73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单输入输出模块</w:t>
                  </w:r>
                </w:p>
              </w:tc>
              <w:tc>
                <w:tcPr>
                  <w:tcW w:w="1424" w:type="dxa"/>
                </w:tcPr>
                <w:p w14:paraId="2297D108">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503</w:t>
                  </w:r>
                </w:p>
              </w:tc>
            </w:tr>
            <w:tr w14:paraId="0E0D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tcPr>
                <w:p w14:paraId="5D30DADF">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4</w:t>
                  </w:r>
                </w:p>
              </w:tc>
              <w:tc>
                <w:tcPr>
                  <w:tcW w:w="1635" w:type="dxa"/>
                </w:tcPr>
                <w:p w14:paraId="54308FF9">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温感</w:t>
                  </w:r>
                </w:p>
              </w:tc>
              <w:tc>
                <w:tcPr>
                  <w:tcW w:w="1636" w:type="dxa"/>
                </w:tcPr>
                <w:p w14:paraId="1192B8F7">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1900</w:t>
                  </w:r>
                </w:p>
              </w:tc>
              <w:tc>
                <w:tcPr>
                  <w:tcW w:w="754" w:type="dxa"/>
                </w:tcPr>
                <w:p w14:paraId="39B7FD92">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9</w:t>
                  </w:r>
                </w:p>
              </w:tc>
              <w:tc>
                <w:tcPr>
                  <w:tcW w:w="1771" w:type="dxa"/>
                </w:tcPr>
                <w:p w14:paraId="6D290F43">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双输入输出模块</w:t>
                  </w:r>
                </w:p>
              </w:tc>
              <w:tc>
                <w:tcPr>
                  <w:tcW w:w="1424" w:type="dxa"/>
                </w:tcPr>
                <w:p w14:paraId="5759B07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289</w:t>
                  </w:r>
                </w:p>
              </w:tc>
            </w:tr>
            <w:tr w14:paraId="5196F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tcPr>
                <w:p w14:paraId="00A9611B">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5</w:t>
                  </w:r>
                </w:p>
              </w:tc>
              <w:tc>
                <w:tcPr>
                  <w:tcW w:w="1635" w:type="dxa"/>
                </w:tcPr>
                <w:p w14:paraId="623FD725">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手动报警按钮</w:t>
                  </w:r>
                </w:p>
              </w:tc>
              <w:tc>
                <w:tcPr>
                  <w:tcW w:w="1636" w:type="dxa"/>
                </w:tcPr>
                <w:p w14:paraId="5DCE58D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1457</w:t>
                  </w:r>
                </w:p>
              </w:tc>
              <w:tc>
                <w:tcPr>
                  <w:tcW w:w="754" w:type="dxa"/>
                </w:tcPr>
                <w:p w14:paraId="4727295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10</w:t>
                  </w:r>
                </w:p>
              </w:tc>
              <w:tc>
                <w:tcPr>
                  <w:tcW w:w="1771" w:type="dxa"/>
                </w:tcPr>
                <w:p w14:paraId="478F3DC4">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消防卷帘</w:t>
                  </w:r>
                </w:p>
              </w:tc>
              <w:tc>
                <w:tcPr>
                  <w:tcW w:w="1424" w:type="dxa"/>
                </w:tcPr>
                <w:p w14:paraId="48F14E3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250</w:t>
                  </w:r>
                </w:p>
              </w:tc>
            </w:tr>
          </w:tbl>
          <w:p w14:paraId="16E402D3">
            <w:pPr>
              <w:keepNext w:val="0"/>
              <w:keepLines w:val="0"/>
              <w:suppressLineNumbers w:val="0"/>
              <w:spacing w:before="0" w:beforeAutospacing="0" w:after="0" w:afterAutospacing="0"/>
              <w:ind w:left="0" w:right="0"/>
              <w:rPr>
                <w:rFonts w:hint="default" w:asciiTheme="minorEastAsia" w:hAnsiTheme="minorEastAsia"/>
                <w:bCs/>
                <w:szCs w:val="21"/>
              </w:rPr>
            </w:pPr>
          </w:p>
        </w:tc>
      </w:tr>
      <w:tr w14:paraId="3A67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5" w:type="pct"/>
            <w:vAlign w:val="center"/>
          </w:tcPr>
          <w:p w14:paraId="56549A15">
            <w:pPr>
              <w:keepNext w:val="0"/>
              <w:keepLines w:val="0"/>
              <w:suppressLineNumbers w:val="0"/>
              <w:spacing w:before="0" w:beforeAutospacing="0" w:after="0" w:afterAutospacing="0"/>
              <w:ind w:left="0" w:right="0"/>
              <w:jc w:val="center"/>
              <w:rPr>
                <w:rFonts w:hint="default" w:asciiTheme="minorEastAsia" w:hAnsiTheme="minorEastAsia"/>
                <w:color w:val="FF0000"/>
                <w:szCs w:val="21"/>
              </w:rPr>
            </w:pPr>
          </w:p>
        </w:tc>
        <w:tc>
          <w:tcPr>
            <w:tcW w:w="303" w:type="pct"/>
            <w:vAlign w:val="center"/>
          </w:tcPr>
          <w:p w14:paraId="58B41EAA">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7</w:t>
            </w:r>
          </w:p>
        </w:tc>
        <w:tc>
          <w:tcPr>
            <w:tcW w:w="4291" w:type="pct"/>
            <w:vAlign w:val="center"/>
          </w:tcPr>
          <w:p w14:paraId="2193FA2E">
            <w:pPr>
              <w:pStyle w:val="9"/>
              <w:keepNext w:val="0"/>
              <w:keepLines w:val="0"/>
              <w:suppressLineNumbers w:val="0"/>
              <w:spacing w:before="0" w:beforeAutospacing="0" w:after="0" w:afterAutospacing="0"/>
              <w:ind w:left="0" w:right="0"/>
              <w:rPr>
                <w:rFonts w:hint="default" w:hAnsi="宋体" w:cs="宋体"/>
                <w:b/>
                <w:bCs/>
                <w:szCs w:val="21"/>
              </w:rPr>
            </w:pPr>
            <w:r>
              <w:rPr>
                <w:rFonts w:hint="eastAsia" w:hAnsi="宋体" w:cs="宋体"/>
                <w:b/>
                <w:bCs/>
                <w:szCs w:val="21"/>
              </w:rPr>
              <w:t>附表3：</w:t>
            </w:r>
            <w:r>
              <w:rPr>
                <w:rFonts w:hint="eastAsia" w:hAnsi="宋体" w:cs="宋体"/>
                <w:b/>
                <w:bCs/>
                <w:szCs w:val="21"/>
                <w:lang w:eastAsia="zh-CN"/>
              </w:rPr>
              <w:t>广州医科大学附属番禺中心医院</w:t>
            </w:r>
            <w:r>
              <w:rPr>
                <w:rFonts w:hint="eastAsia" w:hAnsi="宋体" w:cs="宋体"/>
                <w:b/>
                <w:bCs/>
                <w:szCs w:val="21"/>
              </w:rPr>
              <w:t>（含番禺区第七人民医院、区府门诊、药物维持点）202</w:t>
            </w:r>
            <w:r>
              <w:rPr>
                <w:rFonts w:hint="eastAsia" w:hAnsi="宋体" w:cs="宋体"/>
                <w:b/>
                <w:bCs/>
                <w:szCs w:val="21"/>
                <w:lang w:val="en-US" w:eastAsia="zh-CN"/>
              </w:rPr>
              <w:t>4</w:t>
            </w:r>
            <w:r>
              <w:rPr>
                <w:rFonts w:hint="eastAsia" w:hAnsi="宋体" w:cs="宋体"/>
                <w:b/>
                <w:bCs/>
                <w:szCs w:val="21"/>
              </w:rPr>
              <w:t>年</w:t>
            </w:r>
            <w:r>
              <w:rPr>
                <w:rFonts w:hint="eastAsia" w:hAnsi="宋体" w:cs="宋体"/>
                <w:b/>
                <w:bCs/>
                <w:szCs w:val="21"/>
                <w:lang w:eastAsia="zh-CN"/>
              </w:rPr>
              <w:t>部分消防</w:t>
            </w:r>
            <w:r>
              <w:rPr>
                <w:rFonts w:hint="eastAsia" w:hAnsi="宋体" w:cs="宋体"/>
                <w:b/>
                <w:bCs/>
                <w:szCs w:val="21"/>
              </w:rPr>
              <w:t>配件更换数</w:t>
            </w:r>
          </w:p>
          <w:tbl>
            <w:tblPr>
              <w:tblStyle w:val="16"/>
              <w:tblW w:w="7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1635"/>
              <w:gridCol w:w="1636"/>
              <w:gridCol w:w="754"/>
              <w:gridCol w:w="1485"/>
              <w:gridCol w:w="1710"/>
            </w:tblGrid>
            <w:tr w14:paraId="304B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7D7247BF">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序号</w:t>
                  </w:r>
                </w:p>
              </w:tc>
              <w:tc>
                <w:tcPr>
                  <w:tcW w:w="1635" w:type="dxa"/>
                  <w:vAlign w:val="center"/>
                </w:tcPr>
                <w:p w14:paraId="07489186">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配件名称</w:t>
                  </w:r>
                </w:p>
              </w:tc>
              <w:tc>
                <w:tcPr>
                  <w:tcW w:w="1636" w:type="dxa"/>
                  <w:vAlign w:val="center"/>
                </w:tcPr>
                <w:p w14:paraId="15ED9C90">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更换数量（个）</w:t>
                  </w:r>
                </w:p>
              </w:tc>
              <w:tc>
                <w:tcPr>
                  <w:tcW w:w="754" w:type="dxa"/>
                  <w:vAlign w:val="center"/>
                </w:tcPr>
                <w:p w14:paraId="529DCFEE">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序号</w:t>
                  </w:r>
                </w:p>
              </w:tc>
              <w:tc>
                <w:tcPr>
                  <w:tcW w:w="1485" w:type="dxa"/>
                  <w:vAlign w:val="center"/>
                </w:tcPr>
                <w:p w14:paraId="1423FD7F">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配件名称</w:t>
                  </w:r>
                </w:p>
              </w:tc>
              <w:tc>
                <w:tcPr>
                  <w:tcW w:w="1710" w:type="dxa"/>
                  <w:vAlign w:val="center"/>
                </w:tcPr>
                <w:p w14:paraId="72A878C5">
                  <w:pPr>
                    <w:keepNext w:val="0"/>
                    <w:keepLines w:val="0"/>
                    <w:suppressLineNumbers w:val="0"/>
                    <w:spacing w:before="0" w:beforeAutospacing="0" w:after="0" w:afterAutospacing="0"/>
                    <w:ind w:left="0" w:right="0"/>
                    <w:jc w:val="center"/>
                    <w:rPr>
                      <w:rFonts w:hint="default" w:ascii="宋体" w:hAnsi="宋体" w:eastAsia="宋体" w:cs="宋体"/>
                      <w:b/>
                      <w:bCs/>
                      <w:szCs w:val="21"/>
                    </w:rPr>
                  </w:pPr>
                  <w:r>
                    <w:rPr>
                      <w:rFonts w:hint="eastAsia" w:ascii="宋体" w:hAnsi="宋体" w:eastAsia="宋体" w:cs="宋体"/>
                      <w:b/>
                      <w:bCs/>
                      <w:szCs w:val="21"/>
                    </w:rPr>
                    <w:t>更换数量（个）</w:t>
                  </w:r>
                </w:p>
              </w:tc>
            </w:tr>
            <w:tr w14:paraId="0613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0F014C09">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w:t>
                  </w:r>
                </w:p>
              </w:tc>
              <w:tc>
                <w:tcPr>
                  <w:tcW w:w="1635" w:type="dxa"/>
                  <w:vAlign w:val="center"/>
                </w:tcPr>
                <w:p w14:paraId="583BCD19">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烟感</w:t>
                  </w:r>
                </w:p>
              </w:tc>
              <w:tc>
                <w:tcPr>
                  <w:tcW w:w="1636" w:type="dxa"/>
                  <w:vAlign w:val="center"/>
                </w:tcPr>
                <w:p w14:paraId="6B20DD0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81</w:t>
                  </w:r>
                </w:p>
              </w:tc>
              <w:tc>
                <w:tcPr>
                  <w:tcW w:w="754" w:type="dxa"/>
                  <w:vAlign w:val="center"/>
                </w:tcPr>
                <w:p w14:paraId="62A69B64">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9</w:t>
                  </w:r>
                </w:p>
              </w:tc>
              <w:tc>
                <w:tcPr>
                  <w:tcW w:w="1485" w:type="dxa"/>
                  <w:vAlign w:val="center"/>
                </w:tcPr>
                <w:p w14:paraId="335F83E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温感</w:t>
                  </w:r>
                </w:p>
              </w:tc>
              <w:tc>
                <w:tcPr>
                  <w:tcW w:w="1710" w:type="dxa"/>
                  <w:vAlign w:val="center"/>
                </w:tcPr>
                <w:p w14:paraId="75D8FA12">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4</w:t>
                  </w:r>
                </w:p>
              </w:tc>
            </w:tr>
            <w:tr w14:paraId="434B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33AFDCFC">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2</w:t>
                  </w:r>
                </w:p>
              </w:tc>
              <w:tc>
                <w:tcPr>
                  <w:tcW w:w="1635" w:type="dxa"/>
                  <w:vAlign w:val="center"/>
                </w:tcPr>
                <w:p w14:paraId="5FD59794">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消火栓按钮...</w:t>
                  </w:r>
                </w:p>
              </w:tc>
              <w:tc>
                <w:tcPr>
                  <w:tcW w:w="1636" w:type="dxa"/>
                  <w:vAlign w:val="center"/>
                </w:tcPr>
                <w:p w14:paraId="751F8407">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2</w:t>
                  </w:r>
                </w:p>
              </w:tc>
              <w:tc>
                <w:tcPr>
                  <w:tcW w:w="754" w:type="dxa"/>
                  <w:vAlign w:val="center"/>
                </w:tcPr>
                <w:p w14:paraId="69DF9401">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10</w:t>
                  </w:r>
                </w:p>
              </w:tc>
              <w:tc>
                <w:tcPr>
                  <w:tcW w:w="1485" w:type="dxa"/>
                  <w:vAlign w:val="center"/>
                </w:tcPr>
                <w:p w14:paraId="0F6267A7">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手动火灾报警按钮...</w:t>
                  </w:r>
                </w:p>
              </w:tc>
              <w:tc>
                <w:tcPr>
                  <w:tcW w:w="1710" w:type="dxa"/>
                  <w:vAlign w:val="center"/>
                </w:tcPr>
                <w:p w14:paraId="34D5261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1</w:t>
                  </w:r>
                </w:p>
              </w:tc>
            </w:tr>
            <w:tr w14:paraId="2452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55B229CC">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3</w:t>
                  </w:r>
                </w:p>
              </w:tc>
              <w:tc>
                <w:tcPr>
                  <w:tcW w:w="1635" w:type="dxa"/>
                  <w:vAlign w:val="center"/>
                </w:tcPr>
                <w:p w14:paraId="1976F9BD">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模块</w:t>
                  </w:r>
                </w:p>
              </w:tc>
              <w:tc>
                <w:tcPr>
                  <w:tcW w:w="1636" w:type="dxa"/>
                  <w:vAlign w:val="center"/>
                </w:tcPr>
                <w:p w14:paraId="6DCB3715">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14</w:t>
                  </w:r>
                </w:p>
              </w:tc>
              <w:tc>
                <w:tcPr>
                  <w:tcW w:w="754" w:type="dxa"/>
                  <w:vAlign w:val="center"/>
                </w:tcPr>
                <w:p w14:paraId="7ED22305">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11</w:t>
                  </w:r>
                </w:p>
              </w:tc>
              <w:tc>
                <w:tcPr>
                  <w:tcW w:w="1485" w:type="dxa"/>
                  <w:vAlign w:val="center"/>
                </w:tcPr>
                <w:p w14:paraId="65276B76">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消防电话</w:t>
                  </w:r>
                </w:p>
              </w:tc>
              <w:tc>
                <w:tcPr>
                  <w:tcW w:w="1710" w:type="dxa"/>
                  <w:vAlign w:val="center"/>
                </w:tcPr>
                <w:p w14:paraId="39204BD5">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w:t>
                  </w:r>
                </w:p>
              </w:tc>
            </w:tr>
            <w:tr w14:paraId="1C52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28AC2955">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4</w:t>
                  </w:r>
                </w:p>
              </w:tc>
              <w:tc>
                <w:tcPr>
                  <w:tcW w:w="1635" w:type="dxa"/>
                  <w:vAlign w:val="center"/>
                </w:tcPr>
                <w:p w14:paraId="4BE75BC2">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消防广播喇叭</w:t>
                  </w:r>
                </w:p>
              </w:tc>
              <w:tc>
                <w:tcPr>
                  <w:tcW w:w="1636" w:type="dxa"/>
                  <w:vAlign w:val="center"/>
                </w:tcPr>
                <w:p w14:paraId="6BC106E0">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val="en-US" w:eastAsia="zh-CN"/>
                    </w:rPr>
                    <w:t>3</w:t>
                  </w:r>
                </w:p>
              </w:tc>
              <w:tc>
                <w:tcPr>
                  <w:tcW w:w="754" w:type="dxa"/>
                  <w:vAlign w:val="center"/>
                </w:tcPr>
                <w:p w14:paraId="546F749E">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12</w:t>
                  </w:r>
                </w:p>
              </w:tc>
              <w:tc>
                <w:tcPr>
                  <w:tcW w:w="1485" w:type="dxa"/>
                  <w:vAlign w:val="center"/>
                </w:tcPr>
                <w:p w14:paraId="1201E45B">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卷帘手动控制按钮</w:t>
                  </w:r>
                </w:p>
              </w:tc>
              <w:tc>
                <w:tcPr>
                  <w:tcW w:w="1710" w:type="dxa"/>
                  <w:vAlign w:val="center"/>
                </w:tcPr>
                <w:p w14:paraId="1E6132BE">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w:t>
                  </w:r>
                </w:p>
              </w:tc>
            </w:tr>
            <w:tr w14:paraId="6BCE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1F24025C">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5</w:t>
                  </w:r>
                </w:p>
              </w:tc>
              <w:tc>
                <w:tcPr>
                  <w:tcW w:w="1635" w:type="dxa"/>
                  <w:vAlign w:val="center"/>
                </w:tcPr>
                <w:p w14:paraId="5FCA0ED5">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防火门门锁</w:t>
                  </w:r>
                </w:p>
              </w:tc>
              <w:tc>
                <w:tcPr>
                  <w:tcW w:w="1636" w:type="dxa"/>
                  <w:vAlign w:val="center"/>
                </w:tcPr>
                <w:p w14:paraId="30A18FD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2</w:t>
                  </w:r>
                </w:p>
              </w:tc>
              <w:tc>
                <w:tcPr>
                  <w:tcW w:w="754" w:type="dxa"/>
                  <w:vAlign w:val="center"/>
                </w:tcPr>
                <w:p w14:paraId="33CD72CC">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3</w:t>
                  </w:r>
                </w:p>
              </w:tc>
              <w:tc>
                <w:tcPr>
                  <w:tcW w:w="1485" w:type="dxa"/>
                  <w:vAlign w:val="center"/>
                </w:tcPr>
                <w:p w14:paraId="13499660">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eastAsia="zh-CN"/>
                    </w:rPr>
                    <w:t>安全出口指示灯</w:t>
                  </w:r>
                </w:p>
              </w:tc>
              <w:tc>
                <w:tcPr>
                  <w:tcW w:w="1710" w:type="dxa"/>
                  <w:vAlign w:val="center"/>
                </w:tcPr>
                <w:p w14:paraId="7D6ECA1B">
                  <w:pPr>
                    <w:keepNext w:val="0"/>
                    <w:keepLines w:val="0"/>
                    <w:suppressLineNumbers w:val="0"/>
                    <w:spacing w:before="0" w:beforeAutospacing="0" w:after="0" w:afterAutospacing="0"/>
                    <w:ind w:left="0" w:right="0"/>
                    <w:jc w:val="center"/>
                    <w:rPr>
                      <w:rFonts w:hint="default" w:ascii="宋体" w:hAnsi="宋体" w:eastAsia="宋体" w:cs="宋体"/>
                      <w:szCs w:val="21"/>
                    </w:rPr>
                  </w:pPr>
                  <w:r>
                    <w:rPr>
                      <w:rFonts w:hint="eastAsia" w:ascii="宋体" w:hAnsi="宋体" w:eastAsia="宋体" w:cs="宋体"/>
                      <w:szCs w:val="21"/>
                      <w:lang w:val="en-US" w:eastAsia="zh-CN"/>
                    </w:rPr>
                    <w:t>40</w:t>
                  </w:r>
                </w:p>
              </w:tc>
            </w:tr>
            <w:tr w14:paraId="0F5D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446BC014">
                  <w:pPr>
                    <w:keepNext w:val="0"/>
                    <w:keepLines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6</w:t>
                  </w:r>
                </w:p>
              </w:tc>
              <w:tc>
                <w:tcPr>
                  <w:tcW w:w="1635" w:type="dxa"/>
                  <w:vAlign w:val="center"/>
                </w:tcPr>
                <w:p w14:paraId="6646FA88">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应急照明灯</w:t>
                  </w:r>
                </w:p>
              </w:tc>
              <w:tc>
                <w:tcPr>
                  <w:tcW w:w="1636" w:type="dxa"/>
                  <w:vAlign w:val="center"/>
                </w:tcPr>
                <w:p w14:paraId="418F8CB2">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10</w:t>
                  </w:r>
                </w:p>
              </w:tc>
              <w:tc>
                <w:tcPr>
                  <w:tcW w:w="754" w:type="dxa"/>
                  <w:vAlign w:val="center"/>
                </w:tcPr>
                <w:p w14:paraId="58269A77">
                  <w:pPr>
                    <w:keepNext w:val="0"/>
                    <w:keepLines w:val="0"/>
                    <w:suppressLineNumbers w:val="0"/>
                    <w:spacing w:before="0" w:beforeAutospacing="0" w:after="0" w:afterAutospacing="0"/>
                    <w:ind w:left="0" w:right="0"/>
                    <w:jc w:val="both"/>
                    <w:rPr>
                      <w:rFonts w:hint="default" w:ascii="宋体" w:hAnsi="宋体" w:eastAsia="宋体" w:cs="宋体"/>
                      <w:szCs w:val="21"/>
                      <w:lang w:val="en-US" w:eastAsia="zh-CN"/>
                    </w:rPr>
                  </w:pPr>
                  <w:r>
                    <w:rPr>
                      <w:rFonts w:hint="eastAsia" w:ascii="宋体" w:hAnsi="宋体" w:eastAsia="宋体" w:cs="宋体"/>
                      <w:szCs w:val="21"/>
                      <w:lang w:val="en-US" w:eastAsia="zh-CN"/>
                    </w:rPr>
                    <w:t xml:space="preserve">  14</w:t>
                  </w:r>
                </w:p>
              </w:tc>
              <w:tc>
                <w:tcPr>
                  <w:tcW w:w="1485" w:type="dxa"/>
                  <w:vAlign w:val="center"/>
                </w:tcPr>
                <w:p w14:paraId="3BC08CAF">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消火栓卷盘</w:t>
                  </w:r>
                </w:p>
              </w:tc>
              <w:tc>
                <w:tcPr>
                  <w:tcW w:w="1710" w:type="dxa"/>
                  <w:vAlign w:val="center"/>
                </w:tcPr>
                <w:p w14:paraId="1D986DA2">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114</w:t>
                  </w:r>
                </w:p>
              </w:tc>
            </w:tr>
            <w:tr w14:paraId="0BAD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448DBE9E">
                  <w:pPr>
                    <w:keepNext w:val="0"/>
                    <w:keepLines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7</w:t>
                  </w:r>
                </w:p>
              </w:tc>
              <w:tc>
                <w:tcPr>
                  <w:tcW w:w="1635" w:type="dxa"/>
                  <w:vAlign w:val="center"/>
                </w:tcPr>
                <w:p w14:paraId="0BD7E65D">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消防水带</w:t>
                  </w:r>
                </w:p>
              </w:tc>
              <w:tc>
                <w:tcPr>
                  <w:tcW w:w="1636" w:type="dxa"/>
                  <w:vAlign w:val="center"/>
                </w:tcPr>
                <w:p w14:paraId="23BFA0FE">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10</w:t>
                  </w:r>
                </w:p>
              </w:tc>
              <w:tc>
                <w:tcPr>
                  <w:tcW w:w="754" w:type="dxa"/>
                  <w:vAlign w:val="center"/>
                </w:tcPr>
                <w:p w14:paraId="50F7D682">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15</w:t>
                  </w:r>
                </w:p>
              </w:tc>
              <w:tc>
                <w:tcPr>
                  <w:tcW w:w="1485" w:type="dxa"/>
                  <w:vAlign w:val="center"/>
                </w:tcPr>
                <w:p w14:paraId="26BA655D">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水流指示</w:t>
                  </w:r>
                  <w:r>
                    <w:rPr>
                      <w:rFonts w:hint="default" w:ascii="宋体" w:hAnsi="宋体" w:eastAsia="宋体" w:cs="宋体"/>
                      <w:szCs w:val="21"/>
                      <w:lang w:eastAsia="zh-CN"/>
                    </w:rPr>
                    <w:t>器</w:t>
                  </w:r>
                </w:p>
              </w:tc>
              <w:tc>
                <w:tcPr>
                  <w:tcW w:w="1710" w:type="dxa"/>
                  <w:vAlign w:val="center"/>
                </w:tcPr>
                <w:p w14:paraId="691D6373">
                  <w:pPr>
                    <w:keepNext w:val="0"/>
                    <w:keepLines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r>
            <w:tr w14:paraId="78AC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3569D237">
                  <w:pPr>
                    <w:keepNext w:val="0"/>
                    <w:keepLines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8</w:t>
                  </w:r>
                </w:p>
              </w:tc>
              <w:tc>
                <w:tcPr>
                  <w:tcW w:w="1635" w:type="dxa"/>
                  <w:vAlign w:val="center"/>
                </w:tcPr>
                <w:p w14:paraId="41FF295B">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eastAsia="zh-CN"/>
                    </w:rPr>
                    <w:t>防火门闭门器</w:t>
                  </w:r>
                </w:p>
              </w:tc>
              <w:tc>
                <w:tcPr>
                  <w:tcW w:w="1636" w:type="dxa"/>
                  <w:vAlign w:val="center"/>
                </w:tcPr>
                <w:p w14:paraId="5DF122F6">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29</w:t>
                  </w:r>
                </w:p>
              </w:tc>
              <w:tc>
                <w:tcPr>
                  <w:tcW w:w="754" w:type="dxa"/>
                  <w:vAlign w:val="center"/>
                </w:tcPr>
                <w:p w14:paraId="0BC03912">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485" w:type="dxa"/>
                  <w:vAlign w:val="center"/>
                </w:tcPr>
                <w:p w14:paraId="4C870084">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p>
              </w:tc>
              <w:tc>
                <w:tcPr>
                  <w:tcW w:w="1710" w:type="dxa"/>
                  <w:vAlign w:val="center"/>
                </w:tcPr>
                <w:p w14:paraId="01CB98A8">
                  <w:pPr>
                    <w:keepNext w:val="0"/>
                    <w:keepLines w:val="0"/>
                    <w:suppressLineNumbers w:val="0"/>
                    <w:spacing w:before="0" w:beforeAutospacing="0" w:after="0" w:afterAutospacing="0"/>
                    <w:ind w:left="0" w:right="0"/>
                    <w:jc w:val="center"/>
                    <w:rPr>
                      <w:rFonts w:hint="eastAsia" w:ascii="宋体" w:hAnsi="宋体" w:eastAsia="宋体" w:cs="宋体"/>
                      <w:szCs w:val="21"/>
                      <w:lang w:val="en-US" w:eastAsia="zh-CN"/>
                    </w:rPr>
                  </w:pPr>
                </w:p>
              </w:tc>
            </w:tr>
          </w:tbl>
          <w:p w14:paraId="2DC80EC0">
            <w:pPr>
              <w:keepNext w:val="0"/>
              <w:keepLines w:val="0"/>
              <w:suppressLineNumbers w:val="0"/>
              <w:spacing w:before="0" w:beforeAutospacing="0" w:after="0" w:afterAutospacing="0"/>
              <w:ind w:left="0" w:right="0"/>
              <w:rPr>
                <w:rFonts w:hint="default" w:asciiTheme="minorEastAsia" w:hAnsiTheme="minorEastAsia"/>
                <w:bCs/>
                <w:szCs w:val="21"/>
              </w:rPr>
            </w:pPr>
          </w:p>
        </w:tc>
      </w:tr>
      <w:tr w14:paraId="033CF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5" w:type="pct"/>
            <w:vAlign w:val="center"/>
          </w:tcPr>
          <w:p w14:paraId="01496316">
            <w:pPr>
              <w:keepNext w:val="0"/>
              <w:keepLines w:val="0"/>
              <w:suppressLineNumbers w:val="0"/>
              <w:spacing w:before="0" w:beforeAutospacing="0" w:after="0" w:afterAutospacing="0"/>
              <w:ind w:left="0" w:right="0"/>
              <w:jc w:val="center"/>
              <w:rPr>
                <w:rFonts w:hint="default" w:asciiTheme="minorEastAsia" w:hAnsiTheme="minorEastAsia"/>
                <w:color w:val="FF0000"/>
                <w:szCs w:val="21"/>
              </w:rPr>
            </w:pPr>
          </w:p>
        </w:tc>
        <w:tc>
          <w:tcPr>
            <w:tcW w:w="303" w:type="pct"/>
            <w:vAlign w:val="center"/>
          </w:tcPr>
          <w:p w14:paraId="21113BFF">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lang w:val="en-US" w:eastAsia="zh-CN"/>
              </w:rPr>
              <w:t>8</w:t>
            </w:r>
          </w:p>
        </w:tc>
        <w:tc>
          <w:tcPr>
            <w:tcW w:w="4291" w:type="pct"/>
            <w:vAlign w:val="center"/>
          </w:tcPr>
          <w:p w14:paraId="5AB6C8A2">
            <w:pPr>
              <w:keepNext w:val="0"/>
              <w:keepLines w:val="0"/>
              <w:suppressLineNumbers w:val="0"/>
              <w:spacing w:before="0" w:beforeAutospacing="0" w:after="0" w:afterAutospacing="0"/>
              <w:ind w:left="0" w:right="0"/>
              <w:rPr>
                <w:rFonts w:hint="default" w:ascii="宋体" w:hAnsi="宋体" w:eastAsia="宋体" w:cs="宋体"/>
                <w:b/>
                <w:bCs/>
                <w:szCs w:val="21"/>
              </w:rPr>
            </w:pPr>
            <w:r>
              <w:rPr>
                <w:rFonts w:hint="eastAsia" w:ascii="宋体" w:hAnsi="宋体" w:eastAsia="宋体" w:cs="宋体"/>
                <w:b/>
                <w:bCs/>
                <w:szCs w:val="21"/>
              </w:rPr>
              <w:t>附件一  月度考评细则</w:t>
            </w:r>
          </w:p>
          <w:p w14:paraId="654F7B54">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Cs w:val="21"/>
              </w:rPr>
            </w:pPr>
            <w:r>
              <w:rPr>
                <w:rFonts w:hint="eastAsia" w:ascii="宋体" w:hAnsi="宋体" w:eastAsia="宋体" w:cs="宋体"/>
                <w:b/>
                <w:bCs/>
                <w:kern w:val="0"/>
                <w:szCs w:val="21"/>
              </w:rPr>
              <w:t xml:space="preserve"> </w:t>
            </w:r>
            <w:r>
              <w:rPr>
                <w:rFonts w:hint="eastAsia" w:ascii="宋体" w:hAnsi="宋体" w:eastAsia="宋体" w:cs="宋体"/>
                <w:b/>
                <w:bCs/>
                <w:kern w:val="0"/>
                <w:szCs w:val="21"/>
                <w:lang w:eastAsia="zh-CN"/>
              </w:rPr>
              <w:t>广州医科大学附属番禺中心医院</w:t>
            </w:r>
            <w:r>
              <w:rPr>
                <w:rFonts w:hint="eastAsia" w:ascii="宋体" w:hAnsi="宋体" w:eastAsia="宋体" w:cs="宋体"/>
                <w:b/>
                <w:bCs/>
                <w:kern w:val="0"/>
                <w:szCs w:val="21"/>
              </w:rPr>
              <w:t>消防设施设备维保服务质量考核表</w:t>
            </w:r>
          </w:p>
          <w:p w14:paraId="08F040DC">
            <w:pPr>
              <w:keepNext w:val="0"/>
              <w:keepLines w:val="0"/>
              <w:suppressLineNumbers w:val="0"/>
              <w:spacing w:before="0" w:beforeAutospacing="0" w:after="0" w:afterAutospacing="0"/>
              <w:ind w:left="0" w:right="0"/>
              <w:jc w:val="center"/>
              <w:rPr>
                <w:rFonts w:hint="default" w:ascii="宋体" w:hAnsi="宋体" w:eastAsia="宋体" w:cs="宋体"/>
                <w:b/>
                <w:bCs/>
                <w:kern w:val="0"/>
                <w:szCs w:val="21"/>
              </w:rPr>
            </w:pPr>
            <w:r>
              <w:rPr>
                <w:rFonts w:hint="eastAsia" w:ascii="宋体" w:hAnsi="宋体" w:eastAsia="宋体" w:cs="宋体"/>
                <w:bCs/>
                <w:kern w:val="0"/>
                <w:szCs w:val="21"/>
              </w:rPr>
              <w:t>（   月考评表）</w:t>
            </w:r>
          </w:p>
          <w:p w14:paraId="1A7932EE">
            <w:pPr>
              <w:keepNext w:val="0"/>
              <w:keepLines w:val="0"/>
              <w:suppressLineNumbers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年     月   日</w:t>
            </w:r>
          </w:p>
          <w:tbl>
            <w:tblPr>
              <w:tblStyle w:val="16"/>
              <w:tblW w:w="4998" w:type="pct"/>
              <w:jc w:val="center"/>
              <w:tblLayout w:type="autofit"/>
              <w:tblCellMar>
                <w:top w:w="0" w:type="dxa"/>
                <w:left w:w="108" w:type="dxa"/>
                <w:bottom w:w="0" w:type="dxa"/>
                <w:right w:w="108" w:type="dxa"/>
              </w:tblCellMar>
            </w:tblPr>
            <w:tblGrid>
              <w:gridCol w:w="427"/>
              <w:gridCol w:w="684"/>
              <w:gridCol w:w="466"/>
              <w:gridCol w:w="2586"/>
              <w:gridCol w:w="1612"/>
              <w:gridCol w:w="1305"/>
              <w:gridCol w:w="428"/>
              <w:gridCol w:w="435"/>
            </w:tblGrid>
            <w:tr w14:paraId="12C02632">
              <w:tblPrEx>
                <w:tblCellMar>
                  <w:top w:w="0" w:type="dxa"/>
                  <w:left w:w="108" w:type="dxa"/>
                  <w:bottom w:w="0" w:type="dxa"/>
                  <w:right w:w="108" w:type="dxa"/>
                </w:tblCellMar>
              </w:tblPrEx>
              <w:trPr>
                <w:trHeight w:val="360" w:hRule="atLeast"/>
                <w:tblHeader/>
                <w:jc w:val="center"/>
              </w:trPr>
              <w:tc>
                <w:tcPr>
                  <w:tcW w:w="268" w:type="pct"/>
                  <w:tcBorders>
                    <w:top w:val="single" w:color="auto" w:sz="4" w:space="0"/>
                    <w:left w:val="single" w:color="auto" w:sz="4" w:space="0"/>
                    <w:bottom w:val="single" w:color="auto" w:sz="4" w:space="0"/>
                    <w:right w:val="single" w:color="auto" w:sz="4" w:space="0"/>
                  </w:tcBorders>
                  <w:vAlign w:val="center"/>
                </w:tcPr>
                <w:p w14:paraId="7D802176">
                  <w:pPr>
                    <w:keepNext w:val="0"/>
                    <w:keepLines w:val="0"/>
                    <w:widowControl/>
                    <w:suppressLineNumbers w:val="0"/>
                    <w:spacing w:before="0" w:beforeAutospacing="0" w:after="0" w:afterAutospacing="0"/>
                    <w:ind w:left="0" w:right="0"/>
                    <w:jc w:val="center"/>
                    <w:rPr>
                      <w:rFonts w:hint="default" w:ascii="宋体" w:hAnsi="宋体" w:eastAsia="宋体" w:cs="宋体"/>
                      <w:b/>
                      <w:kern w:val="0"/>
                      <w:szCs w:val="21"/>
                    </w:rPr>
                  </w:pPr>
                  <w:r>
                    <w:rPr>
                      <w:rFonts w:hint="eastAsia" w:ascii="宋体" w:hAnsi="宋体" w:eastAsia="宋体" w:cs="宋体"/>
                      <w:b/>
                      <w:kern w:val="0"/>
                      <w:szCs w:val="21"/>
                    </w:rPr>
                    <w:t>序号</w:t>
                  </w:r>
                </w:p>
              </w:tc>
              <w:tc>
                <w:tcPr>
                  <w:tcW w:w="430" w:type="pct"/>
                  <w:tcBorders>
                    <w:top w:val="single" w:color="auto" w:sz="4" w:space="0"/>
                    <w:left w:val="nil"/>
                    <w:bottom w:val="single" w:color="auto" w:sz="4" w:space="0"/>
                    <w:right w:val="single" w:color="auto" w:sz="4" w:space="0"/>
                  </w:tcBorders>
                  <w:vAlign w:val="center"/>
                </w:tcPr>
                <w:p w14:paraId="39622B17">
                  <w:pPr>
                    <w:keepNext w:val="0"/>
                    <w:keepLines w:val="0"/>
                    <w:widowControl/>
                    <w:suppressLineNumbers w:val="0"/>
                    <w:spacing w:before="0" w:beforeAutospacing="0" w:after="0" w:afterAutospacing="0"/>
                    <w:ind w:left="0" w:right="0"/>
                    <w:jc w:val="center"/>
                    <w:rPr>
                      <w:rFonts w:hint="default" w:ascii="宋体" w:hAnsi="宋体" w:eastAsia="宋体" w:cs="宋体"/>
                      <w:b/>
                      <w:kern w:val="0"/>
                      <w:szCs w:val="21"/>
                    </w:rPr>
                  </w:pPr>
                  <w:r>
                    <w:rPr>
                      <w:rFonts w:hint="eastAsia" w:ascii="宋体" w:hAnsi="宋体" w:eastAsia="宋体" w:cs="宋体"/>
                      <w:b/>
                      <w:kern w:val="0"/>
                      <w:szCs w:val="21"/>
                    </w:rPr>
                    <w:t>项目</w:t>
                  </w:r>
                </w:p>
              </w:tc>
              <w:tc>
                <w:tcPr>
                  <w:tcW w:w="294" w:type="pct"/>
                  <w:tcBorders>
                    <w:top w:val="single" w:color="auto" w:sz="4" w:space="0"/>
                    <w:left w:val="nil"/>
                    <w:bottom w:val="single" w:color="auto" w:sz="4" w:space="0"/>
                    <w:right w:val="single" w:color="auto" w:sz="4" w:space="0"/>
                  </w:tcBorders>
                  <w:vAlign w:val="center"/>
                </w:tcPr>
                <w:p w14:paraId="022CE487">
                  <w:pPr>
                    <w:keepNext w:val="0"/>
                    <w:keepLines w:val="0"/>
                    <w:suppressLineNumbers w:val="0"/>
                    <w:spacing w:before="0" w:beforeAutospacing="0" w:after="0" w:afterAutospacing="0"/>
                    <w:ind w:left="0" w:right="0"/>
                    <w:jc w:val="center"/>
                    <w:rPr>
                      <w:rFonts w:hint="default" w:ascii="宋体" w:hAnsi="宋体" w:eastAsia="宋体" w:cs="宋体"/>
                      <w:b/>
                      <w:kern w:val="0"/>
                      <w:szCs w:val="21"/>
                    </w:rPr>
                  </w:pPr>
                  <w:r>
                    <w:rPr>
                      <w:rFonts w:hint="eastAsia" w:ascii="宋体" w:hAnsi="宋体" w:eastAsia="宋体" w:cs="宋体"/>
                      <w:b/>
                      <w:kern w:val="0"/>
                      <w:szCs w:val="21"/>
                    </w:rPr>
                    <w:t>分值</w:t>
                  </w:r>
                </w:p>
              </w:tc>
              <w:tc>
                <w:tcPr>
                  <w:tcW w:w="1628" w:type="pct"/>
                  <w:tcBorders>
                    <w:top w:val="single" w:color="auto" w:sz="4" w:space="0"/>
                    <w:left w:val="nil"/>
                    <w:bottom w:val="single" w:color="auto" w:sz="4" w:space="0"/>
                    <w:right w:val="single" w:color="auto" w:sz="4" w:space="0"/>
                  </w:tcBorders>
                  <w:vAlign w:val="center"/>
                </w:tcPr>
                <w:p w14:paraId="28305379">
                  <w:pPr>
                    <w:keepNext w:val="0"/>
                    <w:keepLines w:val="0"/>
                    <w:suppressLineNumbers w:val="0"/>
                    <w:spacing w:before="0" w:beforeAutospacing="0" w:after="0" w:afterAutospacing="0"/>
                    <w:ind w:left="0" w:right="0"/>
                    <w:jc w:val="center"/>
                    <w:rPr>
                      <w:rFonts w:hint="default" w:ascii="宋体" w:hAnsi="宋体" w:eastAsia="宋体" w:cs="宋体"/>
                      <w:b/>
                      <w:kern w:val="0"/>
                      <w:szCs w:val="21"/>
                    </w:rPr>
                  </w:pPr>
                  <w:r>
                    <w:rPr>
                      <w:rFonts w:hint="eastAsia" w:ascii="宋体" w:hAnsi="宋体" w:eastAsia="宋体" w:cs="宋体"/>
                      <w:b/>
                      <w:kern w:val="0"/>
                      <w:szCs w:val="21"/>
                    </w:rPr>
                    <w:t>考  核方法及 内  容</w:t>
                  </w:r>
                </w:p>
              </w:tc>
              <w:tc>
                <w:tcPr>
                  <w:tcW w:w="1012" w:type="pct"/>
                  <w:tcBorders>
                    <w:top w:val="single" w:color="auto" w:sz="4" w:space="0"/>
                    <w:left w:val="nil"/>
                    <w:bottom w:val="single" w:color="auto" w:sz="4" w:space="0"/>
                    <w:right w:val="single" w:color="auto" w:sz="4" w:space="0"/>
                  </w:tcBorders>
                  <w:vAlign w:val="center"/>
                </w:tcPr>
                <w:p w14:paraId="6C7C1A72">
                  <w:pPr>
                    <w:keepNext w:val="0"/>
                    <w:keepLines w:val="0"/>
                    <w:widowControl/>
                    <w:suppressLineNumbers w:val="0"/>
                    <w:spacing w:before="0" w:beforeAutospacing="0" w:after="0" w:afterAutospacing="0"/>
                    <w:ind w:left="0" w:right="0"/>
                    <w:jc w:val="center"/>
                    <w:rPr>
                      <w:rFonts w:hint="default" w:ascii="宋体" w:hAnsi="宋体" w:eastAsia="宋体" w:cs="宋体"/>
                      <w:b/>
                      <w:kern w:val="0"/>
                      <w:szCs w:val="21"/>
                    </w:rPr>
                  </w:pPr>
                  <w:r>
                    <w:rPr>
                      <w:rFonts w:hint="eastAsia" w:ascii="宋体" w:hAnsi="宋体" w:eastAsia="宋体" w:cs="宋体"/>
                      <w:b/>
                      <w:kern w:val="0"/>
                      <w:szCs w:val="21"/>
                    </w:rPr>
                    <w:t>扣分细则</w:t>
                  </w:r>
                </w:p>
              </w:tc>
              <w:tc>
                <w:tcPr>
                  <w:tcW w:w="822" w:type="pct"/>
                  <w:tcBorders>
                    <w:top w:val="single" w:color="auto" w:sz="4" w:space="0"/>
                    <w:left w:val="nil"/>
                    <w:bottom w:val="single" w:color="auto" w:sz="4" w:space="0"/>
                    <w:right w:val="single" w:color="auto" w:sz="4" w:space="0"/>
                  </w:tcBorders>
                  <w:vAlign w:val="center"/>
                </w:tcPr>
                <w:p w14:paraId="1AAE035E">
                  <w:pPr>
                    <w:keepNext w:val="0"/>
                    <w:keepLines w:val="0"/>
                    <w:widowControl/>
                    <w:suppressLineNumbers w:val="0"/>
                    <w:spacing w:before="0" w:beforeAutospacing="0" w:after="0" w:afterAutospacing="0"/>
                    <w:ind w:left="0" w:right="0"/>
                    <w:jc w:val="center"/>
                    <w:rPr>
                      <w:rFonts w:hint="default" w:ascii="宋体" w:hAnsi="宋体" w:eastAsia="宋体" w:cs="宋体"/>
                      <w:b/>
                      <w:kern w:val="0"/>
                      <w:szCs w:val="21"/>
                    </w:rPr>
                  </w:pPr>
                  <w:r>
                    <w:rPr>
                      <w:rFonts w:hint="eastAsia" w:ascii="宋体" w:hAnsi="宋体" w:eastAsia="宋体" w:cs="宋体"/>
                      <w:b/>
                      <w:kern w:val="0"/>
                      <w:szCs w:val="21"/>
                    </w:rPr>
                    <w:t>发现问题</w:t>
                  </w:r>
                </w:p>
              </w:tc>
              <w:tc>
                <w:tcPr>
                  <w:tcW w:w="268" w:type="pct"/>
                  <w:tcBorders>
                    <w:top w:val="single" w:color="auto" w:sz="4" w:space="0"/>
                    <w:left w:val="nil"/>
                    <w:bottom w:val="single" w:color="auto" w:sz="4" w:space="0"/>
                    <w:right w:val="single" w:color="auto" w:sz="4" w:space="0"/>
                  </w:tcBorders>
                  <w:vAlign w:val="center"/>
                </w:tcPr>
                <w:p w14:paraId="168558A4">
                  <w:pPr>
                    <w:keepNext w:val="0"/>
                    <w:keepLines w:val="0"/>
                    <w:widowControl/>
                    <w:suppressLineNumbers w:val="0"/>
                    <w:spacing w:before="0" w:beforeAutospacing="0" w:after="0" w:afterAutospacing="0"/>
                    <w:ind w:left="0" w:right="0"/>
                    <w:jc w:val="center"/>
                    <w:rPr>
                      <w:rFonts w:hint="default" w:ascii="宋体" w:hAnsi="宋体" w:eastAsia="宋体" w:cs="宋体"/>
                      <w:b/>
                      <w:kern w:val="0"/>
                      <w:szCs w:val="21"/>
                    </w:rPr>
                  </w:pPr>
                  <w:r>
                    <w:rPr>
                      <w:rFonts w:hint="eastAsia" w:ascii="宋体" w:hAnsi="宋体" w:eastAsia="宋体" w:cs="宋体"/>
                      <w:b/>
                      <w:kern w:val="0"/>
                      <w:szCs w:val="21"/>
                    </w:rPr>
                    <w:t>扣分</w:t>
                  </w:r>
                </w:p>
              </w:tc>
              <w:tc>
                <w:tcPr>
                  <w:tcW w:w="273" w:type="pct"/>
                  <w:tcBorders>
                    <w:top w:val="single" w:color="auto" w:sz="4" w:space="0"/>
                    <w:left w:val="nil"/>
                    <w:bottom w:val="single" w:color="auto" w:sz="4" w:space="0"/>
                    <w:right w:val="single" w:color="auto" w:sz="4" w:space="0"/>
                  </w:tcBorders>
                  <w:vAlign w:val="center"/>
                </w:tcPr>
                <w:p w14:paraId="0283FAE6">
                  <w:pPr>
                    <w:keepNext w:val="0"/>
                    <w:keepLines w:val="0"/>
                    <w:widowControl/>
                    <w:suppressLineNumbers w:val="0"/>
                    <w:spacing w:before="0" w:beforeAutospacing="0" w:after="0" w:afterAutospacing="0"/>
                    <w:ind w:left="0" w:right="0"/>
                    <w:jc w:val="center"/>
                    <w:rPr>
                      <w:rFonts w:hint="default" w:ascii="宋体" w:hAnsi="宋体" w:eastAsia="宋体" w:cs="宋体"/>
                      <w:b/>
                      <w:kern w:val="0"/>
                      <w:szCs w:val="21"/>
                    </w:rPr>
                  </w:pPr>
                  <w:r>
                    <w:rPr>
                      <w:rFonts w:hint="eastAsia" w:ascii="宋体" w:hAnsi="宋体" w:eastAsia="宋体" w:cs="宋体"/>
                      <w:b/>
                      <w:kern w:val="0"/>
                      <w:szCs w:val="21"/>
                    </w:rPr>
                    <w:t>得分</w:t>
                  </w:r>
                </w:p>
              </w:tc>
            </w:tr>
            <w:tr w14:paraId="253688C4">
              <w:tblPrEx>
                <w:tblCellMar>
                  <w:top w:w="0" w:type="dxa"/>
                  <w:left w:w="108" w:type="dxa"/>
                  <w:bottom w:w="0" w:type="dxa"/>
                  <w:right w:w="108" w:type="dxa"/>
                </w:tblCellMar>
              </w:tblPrEx>
              <w:trPr>
                <w:trHeight w:val="555" w:hRule="atLeast"/>
                <w:jc w:val="center"/>
              </w:trPr>
              <w:tc>
                <w:tcPr>
                  <w:tcW w:w="268" w:type="pct"/>
                  <w:tcBorders>
                    <w:top w:val="single" w:color="auto" w:sz="4" w:space="0"/>
                    <w:left w:val="single" w:color="auto" w:sz="4" w:space="0"/>
                    <w:bottom w:val="single" w:color="auto" w:sz="4" w:space="0"/>
                    <w:right w:val="single" w:color="auto" w:sz="4" w:space="0"/>
                  </w:tcBorders>
                  <w:vAlign w:val="center"/>
                </w:tcPr>
                <w:p w14:paraId="52DEC110">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1</w:t>
                  </w:r>
                </w:p>
              </w:tc>
              <w:tc>
                <w:tcPr>
                  <w:tcW w:w="430" w:type="pct"/>
                  <w:tcBorders>
                    <w:top w:val="single" w:color="auto" w:sz="4" w:space="0"/>
                    <w:left w:val="single" w:color="auto" w:sz="4" w:space="0"/>
                    <w:bottom w:val="single" w:color="auto" w:sz="4" w:space="0"/>
                    <w:right w:val="single" w:color="auto" w:sz="4" w:space="0"/>
                  </w:tcBorders>
                  <w:vAlign w:val="center"/>
                </w:tcPr>
                <w:p w14:paraId="444F34CE">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b/>
                      <w:bCs/>
                      <w:kern w:val="0"/>
                      <w:szCs w:val="21"/>
                    </w:rPr>
                    <w:t>项目管理</w:t>
                  </w:r>
                </w:p>
              </w:tc>
              <w:tc>
                <w:tcPr>
                  <w:tcW w:w="294" w:type="pct"/>
                  <w:tcBorders>
                    <w:top w:val="single" w:color="auto" w:sz="4" w:space="0"/>
                    <w:left w:val="single" w:color="auto" w:sz="4" w:space="0"/>
                    <w:bottom w:val="single" w:color="auto" w:sz="4" w:space="0"/>
                    <w:right w:val="single" w:color="auto" w:sz="4" w:space="0"/>
                  </w:tcBorders>
                  <w:vAlign w:val="center"/>
                </w:tcPr>
                <w:p w14:paraId="74AF9177">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5分</w:t>
                  </w:r>
                </w:p>
              </w:tc>
              <w:tc>
                <w:tcPr>
                  <w:tcW w:w="1628" w:type="pct"/>
                  <w:tcBorders>
                    <w:top w:val="single" w:color="auto" w:sz="4" w:space="0"/>
                    <w:left w:val="single" w:color="auto" w:sz="4" w:space="0"/>
                    <w:bottom w:val="single" w:color="auto" w:sz="4" w:space="0"/>
                    <w:right w:val="single" w:color="auto" w:sz="4" w:space="0"/>
                  </w:tcBorders>
                  <w:vAlign w:val="center"/>
                </w:tcPr>
                <w:p w14:paraId="1AAB0E6D">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color w:val="000000"/>
                      <w:kern w:val="0"/>
                      <w:szCs w:val="21"/>
                    </w:rPr>
                    <w:t>项目派驻人数、资质符合甲方要求</w:t>
                  </w:r>
                </w:p>
              </w:tc>
              <w:tc>
                <w:tcPr>
                  <w:tcW w:w="1012" w:type="pct"/>
                  <w:tcBorders>
                    <w:top w:val="single" w:color="auto" w:sz="4" w:space="0"/>
                    <w:left w:val="nil"/>
                    <w:bottom w:val="single" w:color="auto" w:sz="4" w:space="0"/>
                    <w:right w:val="single" w:color="auto" w:sz="4" w:space="0"/>
                  </w:tcBorders>
                  <w:vAlign w:val="center"/>
                </w:tcPr>
                <w:p w14:paraId="71537660">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color w:val="000000"/>
                      <w:kern w:val="0"/>
                      <w:szCs w:val="21"/>
                    </w:rPr>
                    <w:t>不符合要求扣5分</w:t>
                  </w:r>
                </w:p>
              </w:tc>
              <w:tc>
                <w:tcPr>
                  <w:tcW w:w="822" w:type="pct"/>
                  <w:tcBorders>
                    <w:top w:val="single" w:color="auto" w:sz="4" w:space="0"/>
                    <w:left w:val="nil"/>
                    <w:bottom w:val="single" w:color="auto" w:sz="4" w:space="0"/>
                    <w:right w:val="single" w:color="auto" w:sz="4" w:space="0"/>
                  </w:tcBorders>
                  <w:vAlign w:val="center"/>
                </w:tcPr>
                <w:p w14:paraId="2AA6508D">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nil"/>
                    <w:bottom w:val="single" w:color="auto" w:sz="4" w:space="0"/>
                    <w:right w:val="single" w:color="auto" w:sz="4" w:space="0"/>
                  </w:tcBorders>
                  <w:vAlign w:val="center"/>
                </w:tcPr>
                <w:p w14:paraId="1713DF5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nil"/>
                    <w:right w:val="single" w:color="auto" w:sz="4" w:space="0"/>
                  </w:tcBorders>
                </w:tcPr>
                <w:p w14:paraId="76A3342C">
                  <w:pPr>
                    <w:keepNext w:val="0"/>
                    <w:keepLines w:val="0"/>
                    <w:suppressLineNumbers w:val="0"/>
                    <w:spacing w:before="0" w:beforeAutospacing="0" w:after="0" w:afterAutospacing="0"/>
                    <w:ind w:left="0" w:right="0"/>
                    <w:rPr>
                      <w:rFonts w:hint="default" w:ascii="宋体" w:hAnsi="宋体" w:eastAsia="宋体" w:cs="宋体"/>
                      <w:kern w:val="0"/>
                      <w:szCs w:val="21"/>
                    </w:rPr>
                  </w:pPr>
                </w:p>
              </w:tc>
            </w:tr>
            <w:tr w14:paraId="1054D3B5">
              <w:tblPrEx>
                <w:tblCellMar>
                  <w:top w:w="0" w:type="dxa"/>
                  <w:left w:w="108" w:type="dxa"/>
                  <w:bottom w:w="0" w:type="dxa"/>
                  <w:right w:w="108" w:type="dxa"/>
                </w:tblCellMar>
              </w:tblPrEx>
              <w:trPr>
                <w:trHeight w:val="555" w:hRule="atLeast"/>
                <w:jc w:val="center"/>
              </w:trPr>
              <w:tc>
                <w:tcPr>
                  <w:tcW w:w="268" w:type="pct"/>
                  <w:vMerge w:val="restart"/>
                  <w:tcBorders>
                    <w:top w:val="single" w:color="auto" w:sz="4" w:space="0"/>
                    <w:left w:val="single" w:color="auto" w:sz="4" w:space="0"/>
                    <w:right w:val="single" w:color="auto" w:sz="4" w:space="0"/>
                  </w:tcBorders>
                  <w:vAlign w:val="center"/>
                </w:tcPr>
                <w:p w14:paraId="3FF19D55">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2</w:t>
                  </w:r>
                </w:p>
              </w:tc>
              <w:tc>
                <w:tcPr>
                  <w:tcW w:w="430" w:type="pct"/>
                  <w:vMerge w:val="restart"/>
                  <w:tcBorders>
                    <w:top w:val="single" w:color="auto" w:sz="4" w:space="0"/>
                    <w:left w:val="nil"/>
                    <w:right w:val="single" w:color="auto" w:sz="4" w:space="0"/>
                  </w:tcBorders>
                  <w:vAlign w:val="center"/>
                </w:tcPr>
                <w:p w14:paraId="54E6A32C">
                  <w:pPr>
                    <w:keepNext w:val="0"/>
                    <w:keepLines w:val="0"/>
                    <w:widowControl/>
                    <w:suppressLineNumbers w:val="0"/>
                    <w:spacing w:before="0" w:beforeAutospacing="0" w:after="0" w:afterAutospacing="0"/>
                    <w:ind w:left="0" w:right="0"/>
                    <w:rPr>
                      <w:rFonts w:hint="default" w:ascii="宋体" w:hAnsi="宋体" w:eastAsia="宋体" w:cs="宋体"/>
                      <w:b/>
                      <w:color w:val="000000"/>
                      <w:kern w:val="0"/>
                      <w:szCs w:val="21"/>
                    </w:rPr>
                  </w:pPr>
                  <w:r>
                    <w:rPr>
                      <w:rFonts w:hint="eastAsia" w:ascii="宋体" w:hAnsi="宋体" w:eastAsia="宋体" w:cs="宋体"/>
                      <w:b/>
                      <w:color w:val="000000"/>
                      <w:kern w:val="0"/>
                      <w:szCs w:val="21"/>
                    </w:rPr>
                    <w:t>驻场人员工作 纪律</w:t>
                  </w:r>
                </w:p>
              </w:tc>
              <w:tc>
                <w:tcPr>
                  <w:tcW w:w="294" w:type="pct"/>
                  <w:vMerge w:val="restart"/>
                  <w:tcBorders>
                    <w:top w:val="single" w:color="auto" w:sz="4" w:space="0"/>
                    <w:left w:val="nil"/>
                    <w:right w:val="single" w:color="auto" w:sz="4" w:space="0"/>
                  </w:tcBorders>
                  <w:vAlign w:val="center"/>
                </w:tcPr>
                <w:p w14:paraId="496FAFF2">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Cs w:val="21"/>
                    </w:rPr>
                  </w:pPr>
                  <w:r>
                    <w:rPr>
                      <w:rFonts w:hint="eastAsia" w:ascii="宋体" w:hAnsi="宋体" w:eastAsia="宋体" w:cs="宋体"/>
                      <w:kern w:val="0"/>
                      <w:szCs w:val="21"/>
                    </w:rPr>
                    <w:t>5分</w:t>
                  </w:r>
                </w:p>
              </w:tc>
              <w:tc>
                <w:tcPr>
                  <w:tcW w:w="1628" w:type="pct"/>
                  <w:tcBorders>
                    <w:top w:val="single" w:color="auto" w:sz="4" w:space="0"/>
                    <w:left w:val="nil"/>
                    <w:right w:val="single" w:color="auto" w:sz="4" w:space="0"/>
                  </w:tcBorders>
                  <w:vAlign w:val="center"/>
                </w:tcPr>
                <w:p w14:paraId="514685F1">
                  <w:pPr>
                    <w:keepNext w:val="0"/>
                    <w:keepLines w:val="0"/>
                    <w:widowControl/>
                    <w:suppressLineNumbers w:val="0"/>
                    <w:spacing w:before="0" w:beforeAutospacing="0" w:after="0" w:afterAutospacing="0"/>
                    <w:ind w:left="0" w:right="0"/>
                    <w:rPr>
                      <w:rFonts w:hint="default" w:ascii="宋体" w:hAnsi="宋体" w:eastAsia="宋体" w:cs="宋体"/>
                      <w:color w:val="000000"/>
                      <w:kern w:val="0"/>
                      <w:szCs w:val="21"/>
                    </w:rPr>
                  </w:pPr>
                  <w:r>
                    <w:rPr>
                      <w:rFonts w:hint="eastAsia" w:ascii="宋体" w:hAnsi="宋体" w:eastAsia="宋体" w:cs="宋体"/>
                      <w:color w:val="000000"/>
                      <w:kern w:val="0"/>
                      <w:szCs w:val="21"/>
                    </w:rPr>
                    <w:t>驻场人员必须定期进行业务知识培训，有培训记录。</w:t>
                  </w:r>
                </w:p>
              </w:tc>
              <w:tc>
                <w:tcPr>
                  <w:tcW w:w="1012" w:type="pct"/>
                  <w:tcBorders>
                    <w:top w:val="single" w:color="auto" w:sz="4" w:space="0"/>
                    <w:left w:val="nil"/>
                    <w:bottom w:val="single" w:color="auto" w:sz="4" w:space="0"/>
                    <w:right w:val="single" w:color="auto" w:sz="4" w:space="0"/>
                  </w:tcBorders>
                  <w:vAlign w:val="center"/>
                </w:tcPr>
                <w:p w14:paraId="611986BF">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Cs w:val="21"/>
                    </w:rPr>
                  </w:pPr>
                  <w:r>
                    <w:rPr>
                      <w:rFonts w:hint="eastAsia" w:ascii="宋体" w:hAnsi="宋体" w:eastAsia="宋体" w:cs="宋体"/>
                      <w:kern w:val="0"/>
                      <w:szCs w:val="21"/>
                    </w:rPr>
                    <w:t>1人或以上无持证上岗该0分；其余一项不符合要求扣1分</w:t>
                  </w:r>
                </w:p>
              </w:tc>
              <w:tc>
                <w:tcPr>
                  <w:tcW w:w="822" w:type="pct"/>
                  <w:tcBorders>
                    <w:top w:val="single" w:color="auto" w:sz="4" w:space="0"/>
                    <w:left w:val="nil"/>
                    <w:bottom w:val="single" w:color="auto" w:sz="4" w:space="0"/>
                    <w:right w:val="single" w:color="auto" w:sz="4" w:space="0"/>
                  </w:tcBorders>
                  <w:vAlign w:val="center"/>
                </w:tcPr>
                <w:p w14:paraId="652E7141">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nil"/>
                    <w:bottom w:val="single" w:color="auto" w:sz="4" w:space="0"/>
                    <w:right w:val="single" w:color="auto" w:sz="4" w:space="0"/>
                  </w:tcBorders>
                  <w:vAlign w:val="center"/>
                </w:tcPr>
                <w:p w14:paraId="30AC0B7A">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nil"/>
                    <w:right w:val="single" w:color="auto" w:sz="4" w:space="0"/>
                  </w:tcBorders>
                </w:tcPr>
                <w:p w14:paraId="4E53C357">
                  <w:pPr>
                    <w:keepNext w:val="0"/>
                    <w:keepLines w:val="0"/>
                    <w:suppressLineNumbers w:val="0"/>
                    <w:spacing w:before="0" w:beforeAutospacing="0" w:after="0" w:afterAutospacing="0"/>
                    <w:ind w:left="0" w:right="0"/>
                    <w:rPr>
                      <w:rFonts w:hint="default" w:ascii="宋体" w:hAnsi="宋体" w:eastAsia="宋体" w:cs="宋体"/>
                      <w:kern w:val="0"/>
                      <w:szCs w:val="21"/>
                    </w:rPr>
                  </w:pPr>
                </w:p>
              </w:tc>
            </w:tr>
            <w:tr w14:paraId="0B5B21FF">
              <w:tblPrEx>
                <w:tblCellMar>
                  <w:top w:w="0" w:type="dxa"/>
                  <w:left w:w="108" w:type="dxa"/>
                  <w:bottom w:w="0" w:type="dxa"/>
                  <w:right w:w="108" w:type="dxa"/>
                </w:tblCellMar>
              </w:tblPrEx>
              <w:trPr>
                <w:trHeight w:val="555" w:hRule="atLeast"/>
                <w:jc w:val="center"/>
              </w:trPr>
              <w:tc>
                <w:tcPr>
                  <w:tcW w:w="268" w:type="pct"/>
                  <w:vMerge w:val="continue"/>
                  <w:tcBorders>
                    <w:left w:val="single" w:color="auto" w:sz="4" w:space="0"/>
                    <w:right w:val="single" w:color="auto" w:sz="4" w:space="0"/>
                  </w:tcBorders>
                  <w:vAlign w:val="center"/>
                </w:tcPr>
                <w:p w14:paraId="338C872D">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430" w:type="pct"/>
                  <w:vMerge w:val="continue"/>
                  <w:tcBorders>
                    <w:left w:val="nil"/>
                    <w:right w:val="single" w:color="auto" w:sz="4" w:space="0"/>
                  </w:tcBorders>
                  <w:vAlign w:val="center"/>
                </w:tcPr>
                <w:p w14:paraId="07C46F40">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94" w:type="pct"/>
                  <w:vMerge w:val="continue"/>
                  <w:tcBorders>
                    <w:left w:val="nil"/>
                    <w:right w:val="single" w:color="auto" w:sz="4" w:space="0"/>
                  </w:tcBorders>
                  <w:vAlign w:val="center"/>
                </w:tcPr>
                <w:p w14:paraId="3A776DC8">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1628" w:type="pct"/>
                  <w:tcBorders>
                    <w:top w:val="single" w:color="auto" w:sz="4" w:space="0"/>
                    <w:left w:val="nil"/>
                    <w:right w:val="single" w:color="auto" w:sz="4" w:space="0"/>
                  </w:tcBorders>
                  <w:vAlign w:val="center"/>
                </w:tcPr>
                <w:p w14:paraId="6D64CFDD">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color w:val="000000"/>
                      <w:kern w:val="0"/>
                      <w:szCs w:val="21"/>
                    </w:rPr>
                    <w:t>是否按管理要求填写工作汇报、值班记录、事件处理登记等</w:t>
                  </w:r>
                </w:p>
              </w:tc>
              <w:tc>
                <w:tcPr>
                  <w:tcW w:w="1012" w:type="pct"/>
                  <w:tcBorders>
                    <w:top w:val="single" w:color="auto" w:sz="4" w:space="0"/>
                    <w:left w:val="nil"/>
                    <w:bottom w:val="single" w:color="auto" w:sz="4" w:space="0"/>
                    <w:right w:val="single" w:color="auto" w:sz="4" w:space="0"/>
                  </w:tcBorders>
                  <w:vAlign w:val="center"/>
                </w:tcPr>
                <w:p w14:paraId="441DA077">
                  <w:pPr>
                    <w:keepNext w:val="0"/>
                    <w:keepLines w:val="0"/>
                    <w:widowControl/>
                    <w:suppressLineNumbers w:val="0"/>
                    <w:spacing w:before="0" w:beforeAutospacing="0" w:after="0" w:afterAutospacing="0"/>
                    <w:ind w:left="0" w:right="0"/>
                    <w:rPr>
                      <w:rFonts w:hint="default" w:ascii="宋体" w:hAnsi="宋体" w:eastAsia="宋体" w:cs="宋体"/>
                      <w:b/>
                      <w:kern w:val="0"/>
                      <w:szCs w:val="21"/>
                    </w:rPr>
                  </w:pPr>
                  <w:r>
                    <w:rPr>
                      <w:rFonts w:hint="eastAsia" w:ascii="宋体" w:hAnsi="宋体" w:eastAsia="宋体" w:cs="宋体"/>
                      <w:color w:val="000000"/>
                      <w:kern w:val="0"/>
                      <w:szCs w:val="21"/>
                    </w:rPr>
                    <w:t>每次项不符合要求扣1分</w:t>
                  </w:r>
                </w:p>
              </w:tc>
              <w:tc>
                <w:tcPr>
                  <w:tcW w:w="822" w:type="pct"/>
                  <w:tcBorders>
                    <w:top w:val="single" w:color="auto" w:sz="4" w:space="0"/>
                    <w:left w:val="nil"/>
                    <w:bottom w:val="single" w:color="auto" w:sz="4" w:space="0"/>
                    <w:right w:val="single" w:color="auto" w:sz="4" w:space="0"/>
                  </w:tcBorders>
                  <w:vAlign w:val="center"/>
                </w:tcPr>
                <w:p w14:paraId="4FCF8401">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nil"/>
                    <w:bottom w:val="single" w:color="auto" w:sz="4" w:space="0"/>
                    <w:right w:val="single" w:color="auto" w:sz="4" w:space="0"/>
                  </w:tcBorders>
                  <w:vAlign w:val="center"/>
                </w:tcPr>
                <w:p w14:paraId="7AE2D1B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nil"/>
                    <w:right w:val="single" w:color="auto" w:sz="4" w:space="0"/>
                  </w:tcBorders>
                </w:tcPr>
                <w:p w14:paraId="4AFB66CA">
                  <w:pPr>
                    <w:keepNext w:val="0"/>
                    <w:keepLines w:val="0"/>
                    <w:suppressLineNumbers w:val="0"/>
                    <w:spacing w:before="0" w:beforeAutospacing="0" w:after="0" w:afterAutospacing="0"/>
                    <w:ind w:left="0" w:right="0"/>
                    <w:rPr>
                      <w:rFonts w:hint="default" w:ascii="宋体" w:hAnsi="宋体" w:eastAsia="宋体" w:cs="宋体"/>
                      <w:kern w:val="0"/>
                      <w:szCs w:val="21"/>
                    </w:rPr>
                  </w:pPr>
                </w:p>
              </w:tc>
            </w:tr>
            <w:tr w14:paraId="726A7F59">
              <w:tblPrEx>
                <w:tblCellMar>
                  <w:top w:w="0" w:type="dxa"/>
                  <w:left w:w="108" w:type="dxa"/>
                  <w:bottom w:w="0" w:type="dxa"/>
                  <w:right w:w="108" w:type="dxa"/>
                </w:tblCellMar>
              </w:tblPrEx>
              <w:trPr>
                <w:trHeight w:val="555" w:hRule="atLeast"/>
                <w:jc w:val="center"/>
              </w:trPr>
              <w:tc>
                <w:tcPr>
                  <w:tcW w:w="268" w:type="pct"/>
                  <w:vMerge w:val="continue"/>
                  <w:tcBorders>
                    <w:left w:val="single" w:color="auto" w:sz="4" w:space="0"/>
                    <w:right w:val="single" w:color="auto" w:sz="4" w:space="0"/>
                  </w:tcBorders>
                  <w:vAlign w:val="center"/>
                </w:tcPr>
                <w:p w14:paraId="48E96214">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430" w:type="pct"/>
                  <w:vMerge w:val="continue"/>
                  <w:tcBorders>
                    <w:left w:val="nil"/>
                    <w:right w:val="single" w:color="auto" w:sz="4" w:space="0"/>
                  </w:tcBorders>
                  <w:vAlign w:val="center"/>
                </w:tcPr>
                <w:p w14:paraId="6575DB6A">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94" w:type="pct"/>
                  <w:vMerge w:val="continue"/>
                  <w:tcBorders>
                    <w:left w:val="nil"/>
                    <w:right w:val="single" w:color="auto" w:sz="4" w:space="0"/>
                  </w:tcBorders>
                  <w:vAlign w:val="center"/>
                </w:tcPr>
                <w:p w14:paraId="31FB4A4E">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1628" w:type="pct"/>
                  <w:tcBorders>
                    <w:top w:val="single" w:color="auto" w:sz="4" w:space="0"/>
                    <w:left w:val="nil"/>
                    <w:right w:val="single" w:color="auto" w:sz="4" w:space="0"/>
                  </w:tcBorders>
                  <w:vAlign w:val="center"/>
                </w:tcPr>
                <w:p w14:paraId="5FB3C99E">
                  <w:pPr>
                    <w:keepNext w:val="0"/>
                    <w:keepLines w:val="0"/>
                    <w:widowControl/>
                    <w:suppressLineNumbers w:val="0"/>
                    <w:spacing w:before="0" w:beforeAutospacing="0" w:after="0" w:afterAutospacing="0"/>
                    <w:ind w:left="0" w:right="0"/>
                    <w:rPr>
                      <w:rFonts w:hint="default" w:ascii="宋体" w:hAnsi="宋体" w:eastAsia="宋体" w:cs="宋体"/>
                      <w:color w:val="000000"/>
                      <w:kern w:val="0"/>
                      <w:szCs w:val="21"/>
                    </w:rPr>
                  </w:pPr>
                  <w:r>
                    <w:rPr>
                      <w:rFonts w:hint="eastAsia" w:ascii="宋体" w:hAnsi="宋体" w:eastAsia="宋体" w:cs="宋体"/>
                      <w:color w:val="000000"/>
                      <w:kern w:val="0"/>
                      <w:szCs w:val="21"/>
                    </w:rPr>
                    <w:t>工作纪律要求：驻场员工在上班期间不能打游戏、听音乐、打瞌睡等与工作无关的事。</w:t>
                  </w:r>
                </w:p>
              </w:tc>
              <w:tc>
                <w:tcPr>
                  <w:tcW w:w="1012" w:type="pct"/>
                  <w:tcBorders>
                    <w:top w:val="single" w:color="auto" w:sz="4" w:space="0"/>
                    <w:left w:val="nil"/>
                    <w:bottom w:val="single" w:color="auto" w:sz="4" w:space="0"/>
                    <w:right w:val="single" w:color="auto" w:sz="4" w:space="0"/>
                  </w:tcBorders>
                  <w:vAlign w:val="center"/>
                </w:tcPr>
                <w:p w14:paraId="57783F5B">
                  <w:pPr>
                    <w:keepNext w:val="0"/>
                    <w:keepLines w:val="0"/>
                    <w:widowControl/>
                    <w:suppressLineNumbers w:val="0"/>
                    <w:spacing w:before="0" w:beforeAutospacing="0" w:after="0" w:afterAutospacing="0"/>
                    <w:ind w:left="0" w:right="0"/>
                    <w:rPr>
                      <w:rFonts w:hint="default" w:ascii="宋体" w:hAnsi="宋体" w:eastAsia="宋体" w:cs="宋体"/>
                      <w:color w:val="000000"/>
                      <w:kern w:val="0"/>
                      <w:szCs w:val="21"/>
                    </w:rPr>
                  </w:pPr>
                </w:p>
                <w:p w14:paraId="196D89A3">
                  <w:pPr>
                    <w:keepNext w:val="0"/>
                    <w:keepLines w:val="0"/>
                    <w:widowControl/>
                    <w:suppressLineNumbers w:val="0"/>
                    <w:spacing w:before="0" w:beforeAutospacing="0" w:after="0" w:afterAutospacing="0"/>
                    <w:ind w:left="0" w:right="0"/>
                    <w:rPr>
                      <w:rFonts w:hint="default" w:ascii="宋体" w:hAnsi="宋体" w:eastAsia="宋体" w:cs="宋体"/>
                      <w:color w:val="000000"/>
                      <w:kern w:val="0"/>
                      <w:szCs w:val="21"/>
                    </w:rPr>
                  </w:pPr>
                  <w:r>
                    <w:rPr>
                      <w:rFonts w:hint="eastAsia" w:ascii="宋体" w:hAnsi="宋体" w:eastAsia="宋体" w:cs="宋体"/>
                      <w:color w:val="000000"/>
                      <w:kern w:val="0"/>
                      <w:szCs w:val="21"/>
                    </w:rPr>
                    <w:t>每次项不符合要求扣1分</w:t>
                  </w:r>
                </w:p>
                <w:p w14:paraId="15E06C23">
                  <w:pPr>
                    <w:keepNext w:val="0"/>
                    <w:keepLines w:val="0"/>
                    <w:widowControl/>
                    <w:suppressLineNumbers w:val="0"/>
                    <w:spacing w:before="0" w:beforeAutospacing="0" w:after="0" w:afterAutospacing="0"/>
                    <w:ind w:left="0" w:right="0"/>
                    <w:rPr>
                      <w:rFonts w:hint="default" w:ascii="宋体" w:hAnsi="宋体" w:eastAsia="宋体" w:cs="宋体"/>
                      <w:color w:val="000000"/>
                      <w:kern w:val="0"/>
                      <w:szCs w:val="21"/>
                    </w:rPr>
                  </w:pPr>
                </w:p>
              </w:tc>
              <w:tc>
                <w:tcPr>
                  <w:tcW w:w="822" w:type="pct"/>
                  <w:tcBorders>
                    <w:top w:val="single" w:color="auto" w:sz="4" w:space="0"/>
                    <w:left w:val="nil"/>
                    <w:bottom w:val="single" w:color="auto" w:sz="4" w:space="0"/>
                    <w:right w:val="single" w:color="auto" w:sz="4" w:space="0"/>
                  </w:tcBorders>
                  <w:vAlign w:val="center"/>
                </w:tcPr>
                <w:p w14:paraId="1F15B4B8">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nil"/>
                    <w:bottom w:val="single" w:color="auto" w:sz="4" w:space="0"/>
                    <w:right w:val="single" w:color="auto" w:sz="4" w:space="0"/>
                  </w:tcBorders>
                  <w:vAlign w:val="center"/>
                </w:tcPr>
                <w:p w14:paraId="2724A0AA">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nil"/>
                    <w:right w:val="single" w:color="auto" w:sz="4" w:space="0"/>
                  </w:tcBorders>
                </w:tcPr>
                <w:p w14:paraId="32BC1F44">
                  <w:pPr>
                    <w:keepNext w:val="0"/>
                    <w:keepLines w:val="0"/>
                    <w:suppressLineNumbers w:val="0"/>
                    <w:spacing w:before="0" w:beforeAutospacing="0" w:after="0" w:afterAutospacing="0"/>
                    <w:ind w:left="0" w:right="0"/>
                    <w:rPr>
                      <w:rFonts w:hint="default" w:ascii="宋体" w:hAnsi="宋体" w:eastAsia="宋体" w:cs="宋体"/>
                      <w:kern w:val="0"/>
                      <w:szCs w:val="21"/>
                    </w:rPr>
                  </w:pPr>
                </w:p>
              </w:tc>
            </w:tr>
            <w:tr w14:paraId="34CF4CC2">
              <w:tblPrEx>
                <w:tblCellMar>
                  <w:top w:w="0" w:type="dxa"/>
                  <w:left w:w="108" w:type="dxa"/>
                  <w:bottom w:w="0" w:type="dxa"/>
                  <w:right w:w="108" w:type="dxa"/>
                </w:tblCellMar>
              </w:tblPrEx>
              <w:trPr>
                <w:trHeight w:val="731" w:hRule="atLeast"/>
                <w:jc w:val="center"/>
              </w:trPr>
              <w:tc>
                <w:tcPr>
                  <w:tcW w:w="268" w:type="pct"/>
                  <w:vMerge w:val="restart"/>
                  <w:tcBorders>
                    <w:top w:val="single" w:color="auto" w:sz="4" w:space="0"/>
                    <w:left w:val="single" w:color="auto" w:sz="4" w:space="0"/>
                    <w:bottom w:val="single" w:color="auto" w:sz="4" w:space="0"/>
                    <w:right w:val="single" w:color="auto" w:sz="4" w:space="0"/>
                  </w:tcBorders>
                  <w:vAlign w:val="center"/>
                </w:tcPr>
                <w:p w14:paraId="000A05BE">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3</w:t>
                  </w:r>
                </w:p>
              </w:tc>
              <w:tc>
                <w:tcPr>
                  <w:tcW w:w="430" w:type="pct"/>
                  <w:vMerge w:val="restart"/>
                  <w:tcBorders>
                    <w:top w:val="single" w:color="auto" w:sz="4" w:space="0"/>
                    <w:left w:val="single" w:color="auto" w:sz="4" w:space="0"/>
                    <w:bottom w:val="single" w:color="auto" w:sz="4" w:space="0"/>
                    <w:right w:val="single" w:color="auto" w:sz="4" w:space="0"/>
                  </w:tcBorders>
                  <w:textDirection w:val="tbRlV"/>
                  <w:vAlign w:val="center"/>
                </w:tcPr>
                <w:p w14:paraId="644AF8EC">
                  <w:pPr>
                    <w:keepNext w:val="0"/>
                    <w:keepLines w:val="0"/>
                    <w:widowControl/>
                    <w:suppressLineNumbers w:val="0"/>
                    <w:bidi w:val="0"/>
                    <w:spacing w:before="0" w:beforeAutospacing="0" w:after="0" w:afterAutospacing="0"/>
                    <w:ind w:left="-525" w:leftChars="-250" w:right="0"/>
                    <w:jc w:val="center"/>
                    <w:rPr>
                      <w:rFonts w:hint="default" w:ascii="宋体" w:hAnsi="宋体" w:eastAsia="宋体" w:cs="宋体"/>
                      <w:b/>
                      <w:color w:val="000000"/>
                      <w:kern w:val="0"/>
                      <w:szCs w:val="21"/>
                    </w:rPr>
                  </w:pPr>
                  <w:r>
                    <w:rPr>
                      <w:rFonts w:hint="eastAsia" w:ascii="宋体" w:hAnsi="宋体" w:eastAsia="宋体" w:cs="宋体"/>
                      <w:b/>
                      <w:i w:val="0"/>
                      <w:iCs w:val="0"/>
                      <w:color w:val="000000"/>
                      <w:kern w:val="0"/>
                      <w:szCs w:val="21"/>
                    </w:rPr>
                    <w:t>自动报警、消防联动系统</w:t>
                  </w:r>
                </w:p>
              </w:tc>
              <w:tc>
                <w:tcPr>
                  <w:tcW w:w="294" w:type="pct"/>
                  <w:vMerge w:val="restart"/>
                  <w:tcBorders>
                    <w:top w:val="single" w:color="auto" w:sz="4" w:space="0"/>
                    <w:left w:val="nil"/>
                    <w:bottom w:val="single" w:color="auto" w:sz="4" w:space="0"/>
                    <w:right w:val="single" w:color="auto" w:sz="4" w:space="0"/>
                  </w:tcBorders>
                  <w:vAlign w:val="center"/>
                </w:tcPr>
                <w:p w14:paraId="3119BC3D">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10分</w:t>
                  </w:r>
                </w:p>
              </w:tc>
              <w:tc>
                <w:tcPr>
                  <w:tcW w:w="1628" w:type="pct"/>
                  <w:tcBorders>
                    <w:top w:val="single" w:color="auto" w:sz="4" w:space="0"/>
                    <w:left w:val="nil"/>
                    <w:bottom w:val="single" w:color="auto" w:sz="4" w:space="0"/>
                    <w:right w:val="single" w:color="auto" w:sz="4" w:space="0"/>
                  </w:tcBorders>
                  <w:vAlign w:val="center"/>
                </w:tcPr>
                <w:p w14:paraId="32A853A9">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抽检烟感、温感功能是否正常</w:t>
                  </w:r>
                </w:p>
              </w:tc>
              <w:tc>
                <w:tcPr>
                  <w:tcW w:w="1012" w:type="pct"/>
                  <w:tcBorders>
                    <w:top w:val="single" w:color="auto" w:sz="4" w:space="0"/>
                    <w:left w:val="nil"/>
                    <w:bottom w:val="single" w:color="auto" w:sz="4" w:space="0"/>
                    <w:right w:val="single" w:color="auto" w:sz="4" w:space="0"/>
                  </w:tcBorders>
                  <w:vAlign w:val="center"/>
                </w:tcPr>
                <w:p w14:paraId="56496CF4">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抽检5-10个消防分区，发现一个故障扣1分</w:t>
                  </w:r>
                </w:p>
              </w:tc>
              <w:tc>
                <w:tcPr>
                  <w:tcW w:w="822" w:type="pct"/>
                  <w:tcBorders>
                    <w:top w:val="single" w:color="auto" w:sz="4" w:space="0"/>
                    <w:left w:val="single" w:color="auto" w:sz="4" w:space="0"/>
                    <w:bottom w:val="single" w:color="auto" w:sz="4" w:space="0"/>
                    <w:right w:val="single" w:color="auto" w:sz="4" w:space="0"/>
                  </w:tcBorders>
                  <w:vAlign w:val="center"/>
                </w:tcPr>
                <w:p w14:paraId="666F2580">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53CF84B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vMerge w:val="restart"/>
                  <w:tcBorders>
                    <w:top w:val="single" w:color="auto" w:sz="4" w:space="0"/>
                    <w:left w:val="single" w:color="auto" w:sz="4" w:space="0"/>
                    <w:right w:val="single" w:color="auto" w:sz="4" w:space="0"/>
                  </w:tcBorders>
                </w:tcPr>
                <w:p w14:paraId="77A7B1BC">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31FD0D13">
              <w:tblPrEx>
                <w:tblCellMar>
                  <w:top w:w="0" w:type="dxa"/>
                  <w:left w:w="108" w:type="dxa"/>
                  <w:bottom w:w="0" w:type="dxa"/>
                  <w:right w:w="108" w:type="dxa"/>
                </w:tblCellMar>
              </w:tblPrEx>
              <w:trPr>
                <w:trHeight w:val="39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0508399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353A97D7">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p>
              </w:tc>
              <w:tc>
                <w:tcPr>
                  <w:tcW w:w="294" w:type="pct"/>
                  <w:vMerge w:val="continue"/>
                  <w:tcBorders>
                    <w:top w:val="single" w:color="auto" w:sz="4" w:space="0"/>
                    <w:left w:val="nil"/>
                    <w:bottom w:val="single" w:color="auto" w:sz="4" w:space="0"/>
                    <w:right w:val="single" w:color="auto" w:sz="4" w:space="0"/>
                  </w:tcBorders>
                  <w:vAlign w:val="center"/>
                </w:tcPr>
                <w:p w14:paraId="3DFE1BEF">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1628" w:type="pct"/>
                  <w:tcBorders>
                    <w:top w:val="single" w:color="auto" w:sz="4" w:space="0"/>
                    <w:left w:val="nil"/>
                    <w:bottom w:val="single" w:color="auto" w:sz="4" w:space="0"/>
                    <w:right w:val="single" w:color="auto" w:sz="4" w:space="0"/>
                  </w:tcBorders>
                  <w:vAlign w:val="center"/>
                </w:tcPr>
                <w:p w14:paraId="7FD86667">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抽检手动报警按钮功能是否正常</w:t>
                  </w:r>
                </w:p>
              </w:tc>
              <w:tc>
                <w:tcPr>
                  <w:tcW w:w="1012" w:type="pct"/>
                  <w:tcBorders>
                    <w:top w:val="single" w:color="auto" w:sz="4" w:space="0"/>
                    <w:left w:val="nil"/>
                    <w:bottom w:val="single" w:color="auto" w:sz="4" w:space="0"/>
                    <w:right w:val="single" w:color="auto" w:sz="4" w:space="0"/>
                  </w:tcBorders>
                  <w:vAlign w:val="center"/>
                </w:tcPr>
                <w:p w14:paraId="309C5F2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抽检5-10个消防分区，发现一个故障扣1-3分</w:t>
                  </w:r>
                </w:p>
              </w:tc>
              <w:tc>
                <w:tcPr>
                  <w:tcW w:w="822" w:type="pct"/>
                  <w:tcBorders>
                    <w:top w:val="single" w:color="auto" w:sz="4" w:space="0"/>
                    <w:left w:val="single" w:color="auto" w:sz="4" w:space="0"/>
                    <w:bottom w:val="single" w:color="auto" w:sz="4" w:space="0"/>
                    <w:right w:val="single" w:color="auto" w:sz="4" w:space="0"/>
                  </w:tcBorders>
                  <w:vAlign w:val="center"/>
                </w:tcPr>
                <w:p w14:paraId="02049947">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62011EB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vMerge w:val="continue"/>
                  <w:tcBorders>
                    <w:left w:val="single" w:color="auto" w:sz="4" w:space="0"/>
                    <w:right w:val="single" w:color="auto" w:sz="4" w:space="0"/>
                  </w:tcBorders>
                </w:tcPr>
                <w:p w14:paraId="68A06C0B">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239155C4">
              <w:tblPrEx>
                <w:tblCellMar>
                  <w:top w:w="0" w:type="dxa"/>
                  <w:left w:w="108" w:type="dxa"/>
                  <w:bottom w:w="0" w:type="dxa"/>
                  <w:right w:w="108" w:type="dxa"/>
                </w:tblCellMar>
              </w:tblPrEx>
              <w:trPr>
                <w:trHeight w:val="1227"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0CAD1D07">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6563B49C">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p>
              </w:tc>
              <w:tc>
                <w:tcPr>
                  <w:tcW w:w="294" w:type="pct"/>
                  <w:vMerge w:val="continue"/>
                  <w:tcBorders>
                    <w:top w:val="single" w:color="auto" w:sz="4" w:space="0"/>
                    <w:left w:val="nil"/>
                    <w:bottom w:val="single" w:color="auto" w:sz="4" w:space="0"/>
                    <w:right w:val="single" w:color="auto" w:sz="4" w:space="0"/>
                  </w:tcBorders>
                  <w:vAlign w:val="center"/>
                </w:tcPr>
                <w:p w14:paraId="46B9A8B8">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1628" w:type="pct"/>
                  <w:tcBorders>
                    <w:top w:val="single" w:color="auto" w:sz="4" w:space="0"/>
                    <w:left w:val="nil"/>
                    <w:bottom w:val="single" w:color="auto" w:sz="4" w:space="0"/>
                    <w:right w:val="single" w:color="auto" w:sz="4" w:space="0"/>
                  </w:tcBorders>
                  <w:vAlign w:val="center"/>
                </w:tcPr>
                <w:p w14:paraId="5408A6CF">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巡检火灾自动报警控制器、显示器的功能是否正常</w:t>
                  </w:r>
                </w:p>
              </w:tc>
              <w:tc>
                <w:tcPr>
                  <w:tcW w:w="1012" w:type="pct"/>
                  <w:tcBorders>
                    <w:top w:val="single" w:color="auto" w:sz="4" w:space="0"/>
                    <w:left w:val="nil"/>
                    <w:bottom w:val="single" w:color="auto" w:sz="4" w:space="0"/>
                    <w:right w:val="single" w:color="auto" w:sz="4" w:space="0"/>
                  </w:tcBorders>
                  <w:vAlign w:val="center"/>
                </w:tcPr>
                <w:p w14:paraId="0ADB439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不符合要求每次扣1-3分</w:t>
                  </w:r>
                </w:p>
              </w:tc>
              <w:tc>
                <w:tcPr>
                  <w:tcW w:w="822" w:type="pct"/>
                  <w:tcBorders>
                    <w:top w:val="single" w:color="auto" w:sz="4" w:space="0"/>
                    <w:left w:val="single" w:color="auto" w:sz="4" w:space="0"/>
                    <w:bottom w:val="single" w:color="auto" w:sz="4" w:space="0"/>
                    <w:right w:val="single" w:color="auto" w:sz="4" w:space="0"/>
                  </w:tcBorders>
                  <w:vAlign w:val="center"/>
                </w:tcPr>
                <w:p w14:paraId="797881A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38CEA4C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vMerge w:val="continue"/>
                  <w:tcBorders>
                    <w:left w:val="single" w:color="auto" w:sz="4" w:space="0"/>
                    <w:right w:val="single" w:color="auto" w:sz="4" w:space="0"/>
                  </w:tcBorders>
                </w:tcPr>
                <w:p w14:paraId="2D112EEA">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09C98358">
              <w:tblPrEx>
                <w:tblCellMar>
                  <w:top w:w="0" w:type="dxa"/>
                  <w:left w:w="108" w:type="dxa"/>
                  <w:bottom w:w="0" w:type="dxa"/>
                  <w:right w:w="108" w:type="dxa"/>
                </w:tblCellMar>
              </w:tblPrEx>
              <w:trPr>
                <w:trHeight w:val="375" w:hRule="atLeast"/>
                <w:jc w:val="center"/>
              </w:trPr>
              <w:tc>
                <w:tcPr>
                  <w:tcW w:w="268" w:type="pct"/>
                  <w:vMerge w:val="restart"/>
                  <w:tcBorders>
                    <w:top w:val="single" w:color="auto" w:sz="4" w:space="0"/>
                    <w:left w:val="single" w:color="auto" w:sz="4" w:space="0"/>
                    <w:bottom w:val="single" w:color="auto" w:sz="4" w:space="0"/>
                    <w:right w:val="single" w:color="auto" w:sz="4" w:space="0"/>
                  </w:tcBorders>
                  <w:vAlign w:val="center"/>
                </w:tcPr>
                <w:p w14:paraId="082FFE94">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4</w:t>
                  </w:r>
                </w:p>
              </w:tc>
              <w:tc>
                <w:tcPr>
                  <w:tcW w:w="430" w:type="pct"/>
                  <w:vMerge w:val="restart"/>
                  <w:tcBorders>
                    <w:top w:val="single" w:color="auto" w:sz="4" w:space="0"/>
                    <w:left w:val="single" w:color="auto" w:sz="4" w:space="0"/>
                    <w:bottom w:val="single" w:color="auto" w:sz="4" w:space="0"/>
                    <w:right w:val="single" w:color="auto" w:sz="4" w:space="0"/>
                  </w:tcBorders>
                  <w:textDirection w:val="tbRlV"/>
                  <w:vAlign w:val="center"/>
                </w:tcPr>
                <w:p w14:paraId="78FE8A49">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Cs w:val="21"/>
                    </w:rPr>
                  </w:pPr>
                  <w:r>
                    <w:rPr>
                      <w:rFonts w:hint="eastAsia" w:ascii="宋体" w:hAnsi="宋体" w:eastAsia="宋体" w:cs="宋体"/>
                      <w:b/>
                      <w:bCs/>
                      <w:kern w:val="0"/>
                      <w:szCs w:val="21"/>
                    </w:rPr>
                    <w:t>破玻警音广播对讲系统</w:t>
                  </w:r>
                </w:p>
              </w:tc>
              <w:tc>
                <w:tcPr>
                  <w:tcW w:w="294" w:type="pct"/>
                  <w:vMerge w:val="restart"/>
                  <w:tcBorders>
                    <w:top w:val="single" w:color="auto" w:sz="4" w:space="0"/>
                    <w:left w:val="nil"/>
                    <w:bottom w:val="single" w:color="auto" w:sz="4" w:space="0"/>
                    <w:right w:val="single" w:color="auto" w:sz="4" w:space="0"/>
                  </w:tcBorders>
                  <w:vAlign w:val="center"/>
                </w:tcPr>
                <w:p w14:paraId="3A876F01">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8分</w:t>
                  </w:r>
                </w:p>
              </w:tc>
              <w:tc>
                <w:tcPr>
                  <w:tcW w:w="1628" w:type="pct"/>
                  <w:tcBorders>
                    <w:top w:val="single" w:color="auto" w:sz="4" w:space="0"/>
                    <w:left w:val="nil"/>
                    <w:bottom w:val="single" w:color="auto" w:sz="4" w:space="0"/>
                    <w:right w:val="single" w:color="auto" w:sz="4" w:space="0"/>
                  </w:tcBorders>
                  <w:vAlign w:val="center"/>
                </w:tcPr>
                <w:p w14:paraId="2B4D5AE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抽检警铃功能是否正常</w:t>
                  </w:r>
                </w:p>
              </w:tc>
              <w:tc>
                <w:tcPr>
                  <w:tcW w:w="1012" w:type="pct"/>
                  <w:tcBorders>
                    <w:top w:val="single" w:color="auto" w:sz="4" w:space="0"/>
                    <w:left w:val="nil"/>
                    <w:bottom w:val="single" w:color="auto" w:sz="4" w:space="0"/>
                    <w:right w:val="single" w:color="auto" w:sz="4" w:space="0"/>
                  </w:tcBorders>
                  <w:vAlign w:val="center"/>
                </w:tcPr>
                <w:p w14:paraId="7077EBCA">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不符合要求每个扣2分</w:t>
                  </w:r>
                </w:p>
              </w:tc>
              <w:tc>
                <w:tcPr>
                  <w:tcW w:w="822" w:type="pct"/>
                  <w:tcBorders>
                    <w:top w:val="single" w:color="auto" w:sz="4" w:space="0"/>
                    <w:left w:val="single" w:color="auto" w:sz="4" w:space="0"/>
                    <w:bottom w:val="single" w:color="auto" w:sz="4" w:space="0"/>
                    <w:right w:val="single" w:color="auto" w:sz="4" w:space="0"/>
                  </w:tcBorders>
                  <w:vAlign w:val="center"/>
                </w:tcPr>
                <w:p w14:paraId="1440DDC8">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7BD03954">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2FFC7507">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571AADE5">
              <w:tblPrEx>
                <w:tblCellMar>
                  <w:top w:w="0" w:type="dxa"/>
                  <w:left w:w="108" w:type="dxa"/>
                  <w:bottom w:w="0" w:type="dxa"/>
                  <w:right w:w="108" w:type="dxa"/>
                </w:tblCellMar>
              </w:tblPrEx>
              <w:trPr>
                <w:trHeight w:val="375"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6B3E0F7B">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2A015967">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p>
              </w:tc>
              <w:tc>
                <w:tcPr>
                  <w:tcW w:w="294" w:type="pct"/>
                  <w:vMerge w:val="continue"/>
                  <w:tcBorders>
                    <w:top w:val="single" w:color="auto" w:sz="4" w:space="0"/>
                    <w:left w:val="nil"/>
                    <w:bottom w:val="single" w:color="auto" w:sz="4" w:space="0"/>
                    <w:right w:val="single" w:color="auto" w:sz="4" w:space="0"/>
                  </w:tcBorders>
                  <w:vAlign w:val="center"/>
                </w:tcPr>
                <w:p w14:paraId="73B616CA">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1628" w:type="pct"/>
                  <w:tcBorders>
                    <w:top w:val="single" w:color="auto" w:sz="4" w:space="0"/>
                    <w:left w:val="nil"/>
                    <w:bottom w:val="single" w:color="auto" w:sz="4" w:space="0"/>
                    <w:right w:val="single" w:color="auto" w:sz="4" w:space="0"/>
                  </w:tcBorders>
                  <w:vAlign w:val="center"/>
                </w:tcPr>
                <w:p w14:paraId="7B590D7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检查功放机功能是否正常</w:t>
                  </w:r>
                </w:p>
              </w:tc>
              <w:tc>
                <w:tcPr>
                  <w:tcW w:w="1012" w:type="pct"/>
                  <w:tcBorders>
                    <w:top w:val="single" w:color="auto" w:sz="4" w:space="0"/>
                    <w:left w:val="nil"/>
                    <w:bottom w:val="single" w:color="auto" w:sz="4" w:space="0"/>
                    <w:right w:val="single" w:color="auto" w:sz="4" w:space="0"/>
                  </w:tcBorders>
                  <w:vAlign w:val="center"/>
                </w:tcPr>
                <w:p w14:paraId="1DFA36D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不符合要求每次扣1分</w:t>
                  </w:r>
                </w:p>
              </w:tc>
              <w:tc>
                <w:tcPr>
                  <w:tcW w:w="822" w:type="pct"/>
                  <w:tcBorders>
                    <w:top w:val="single" w:color="auto" w:sz="4" w:space="0"/>
                    <w:left w:val="single" w:color="auto" w:sz="4" w:space="0"/>
                    <w:bottom w:val="single" w:color="auto" w:sz="4" w:space="0"/>
                    <w:right w:val="single" w:color="auto" w:sz="4" w:space="0"/>
                  </w:tcBorders>
                  <w:vAlign w:val="center"/>
                </w:tcPr>
                <w:p w14:paraId="26778904">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292DDE27">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02617591">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156E87D5">
              <w:tblPrEx>
                <w:tblCellMar>
                  <w:top w:w="0" w:type="dxa"/>
                  <w:left w:w="108" w:type="dxa"/>
                  <w:bottom w:w="0" w:type="dxa"/>
                  <w:right w:w="108" w:type="dxa"/>
                </w:tblCellMar>
              </w:tblPrEx>
              <w:trPr>
                <w:trHeight w:val="375"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547AFEE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1CCBE69F">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p>
              </w:tc>
              <w:tc>
                <w:tcPr>
                  <w:tcW w:w="294" w:type="pct"/>
                  <w:vMerge w:val="continue"/>
                  <w:tcBorders>
                    <w:top w:val="single" w:color="auto" w:sz="4" w:space="0"/>
                    <w:left w:val="nil"/>
                    <w:bottom w:val="single" w:color="auto" w:sz="4" w:space="0"/>
                    <w:right w:val="single" w:color="auto" w:sz="4" w:space="0"/>
                  </w:tcBorders>
                  <w:vAlign w:val="center"/>
                </w:tcPr>
                <w:p w14:paraId="2A97EE01">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1628" w:type="pct"/>
                  <w:tcBorders>
                    <w:top w:val="single" w:color="auto" w:sz="4" w:space="0"/>
                    <w:left w:val="nil"/>
                    <w:bottom w:val="single" w:color="auto" w:sz="4" w:space="0"/>
                    <w:right w:val="single" w:color="auto" w:sz="4" w:space="0"/>
                  </w:tcBorders>
                  <w:vAlign w:val="center"/>
                </w:tcPr>
                <w:p w14:paraId="7D2BF62E">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检查消防广播功能是否正常</w:t>
                  </w:r>
                </w:p>
              </w:tc>
              <w:tc>
                <w:tcPr>
                  <w:tcW w:w="1012" w:type="pct"/>
                  <w:tcBorders>
                    <w:top w:val="single" w:color="auto" w:sz="4" w:space="0"/>
                    <w:left w:val="nil"/>
                    <w:bottom w:val="single" w:color="auto" w:sz="4" w:space="0"/>
                    <w:right w:val="single" w:color="auto" w:sz="4" w:space="0"/>
                  </w:tcBorders>
                  <w:vAlign w:val="center"/>
                </w:tcPr>
                <w:p w14:paraId="23F7DF2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不符合要求每次扣2分</w:t>
                  </w:r>
                </w:p>
              </w:tc>
              <w:tc>
                <w:tcPr>
                  <w:tcW w:w="822" w:type="pct"/>
                  <w:tcBorders>
                    <w:top w:val="single" w:color="auto" w:sz="4" w:space="0"/>
                    <w:left w:val="single" w:color="auto" w:sz="4" w:space="0"/>
                    <w:bottom w:val="single" w:color="auto" w:sz="4" w:space="0"/>
                    <w:right w:val="single" w:color="auto" w:sz="4" w:space="0"/>
                  </w:tcBorders>
                  <w:vAlign w:val="center"/>
                </w:tcPr>
                <w:p w14:paraId="4EBCCED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6DCFF0AB">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128CFF25">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5FE5455E">
              <w:tblPrEx>
                <w:tblCellMar>
                  <w:top w:w="0" w:type="dxa"/>
                  <w:left w:w="108" w:type="dxa"/>
                  <w:bottom w:w="0" w:type="dxa"/>
                  <w:right w:w="108" w:type="dxa"/>
                </w:tblCellMar>
              </w:tblPrEx>
              <w:trPr>
                <w:trHeight w:val="692"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2DEBEF79">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7945C664">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p>
              </w:tc>
              <w:tc>
                <w:tcPr>
                  <w:tcW w:w="294" w:type="pct"/>
                  <w:vMerge w:val="continue"/>
                  <w:tcBorders>
                    <w:top w:val="single" w:color="auto" w:sz="4" w:space="0"/>
                    <w:left w:val="nil"/>
                    <w:bottom w:val="single" w:color="auto" w:sz="4" w:space="0"/>
                    <w:right w:val="single" w:color="auto" w:sz="4" w:space="0"/>
                  </w:tcBorders>
                  <w:vAlign w:val="center"/>
                </w:tcPr>
                <w:p w14:paraId="6A1EE350">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1628" w:type="pct"/>
                  <w:tcBorders>
                    <w:top w:val="single" w:color="auto" w:sz="4" w:space="0"/>
                    <w:left w:val="nil"/>
                    <w:bottom w:val="single" w:color="auto" w:sz="4" w:space="0"/>
                    <w:right w:val="single" w:color="auto" w:sz="4" w:space="0"/>
                  </w:tcBorders>
                  <w:vAlign w:val="center"/>
                </w:tcPr>
                <w:p w14:paraId="067E0A1D">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检查消防电话功能是否正常</w:t>
                  </w:r>
                </w:p>
              </w:tc>
              <w:tc>
                <w:tcPr>
                  <w:tcW w:w="1012" w:type="pct"/>
                  <w:tcBorders>
                    <w:top w:val="single" w:color="auto" w:sz="4" w:space="0"/>
                    <w:left w:val="nil"/>
                    <w:bottom w:val="single" w:color="auto" w:sz="4" w:space="0"/>
                    <w:right w:val="single" w:color="auto" w:sz="4" w:space="0"/>
                  </w:tcBorders>
                  <w:vAlign w:val="center"/>
                </w:tcPr>
                <w:p w14:paraId="7BC76C31">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不符合要求每次扣2分</w:t>
                  </w:r>
                </w:p>
              </w:tc>
              <w:tc>
                <w:tcPr>
                  <w:tcW w:w="822" w:type="pct"/>
                  <w:tcBorders>
                    <w:top w:val="single" w:color="auto" w:sz="4" w:space="0"/>
                    <w:left w:val="single" w:color="auto" w:sz="4" w:space="0"/>
                    <w:bottom w:val="single" w:color="auto" w:sz="4" w:space="0"/>
                    <w:right w:val="single" w:color="auto" w:sz="4" w:space="0"/>
                  </w:tcBorders>
                  <w:vAlign w:val="center"/>
                </w:tcPr>
                <w:p w14:paraId="12C1E024">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3F327838">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7BC5CA6A">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0632A585">
              <w:tblPrEx>
                <w:tblCellMar>
                  <w:top w:w="0" w:type="dxa"/>
                  <w:left w:w="108" w:type="dxa"/>
                  <w:bottom w:w="0" w:type="dxa"/>
                  <w:right w:w="108" w:type="dxa"/>
                </w:tblCellMar>
              </w:tblPrEx>
              <w:trPr>
                <w:trHeight w:val="887" w:hRule="atLeast"/>
                <w:jc w:val="center"/>
              </w:trPr>
              <w:tc>
                <w:tcPr>
                  <w:tcW w:w="268" w:type="pct"/>
                  <w:vMerge w:val="restart"/>
                  <w:tcBorders>
                    <w:top w:val="single" w:color="auto" w:sz="4" w:space="0"/>
                    <w:left w:val="single" w:color="auto" w:sz="4" w:space="0"/>
                    <w:right w:val="single" w:color="auto" w:sz="4" w:space="0"/>
                  </w:tcBorders>
                  <w:vAlign w:val="center"/>
                </w:tcPr>
                <w:p w14:paraId="33D7B9D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5</w:t>
                  </w:r>
                </w:p>
              </w:tc>
              <w:tc>
                <w:tcPr>
                  <w:tcW w:w="430" w:type="pct"/>
                  <w:vMerge w:val="restart"/>
                  <w:tcBorders>
                    <w:top w:val="single" w:color="auto" w:sz="4" w:space="0"/>
                    <w:left w:val="single" w:color="auto" w:sz="4" w:space="0"/>
                    <w:right w:val="single" w:color="auto" w:sz="4" w:space="0"/>
                  </w:tcBorders>
                  <w:vAlign w:val="center"/>
                </w:tcPr>
                <w:p w14:paraId="2AD305CB">
                  <w:pPr>
                    <w:keepNext w:val="0"/>
                    <w:keepLines w:val="0"/>
                    <w:widowControl/>
                    <w:suppressLineNumbers w:val="0"/>
                    <w:spacing w:before="0" w:beforeAutospacing="0" w:after="0" w:afterAutospacing="0"/>
                    <w:ind w:left="0" w:right="0"/>
                    <w:rPr>
                      <w:rFonts w:hint="eastAsia" w:ascii="宋体" w:hAnsi="宋体" w:eastAsia="宋体" w:cs="宋体"/>
                      <w:b/>
                      <w:bCs/>
                      <w:kern w:val="0"/>
                      <w:szCs w:val="21"/>
                    </w:rPr>
                  </w:pPr>
                  <w:r>
                    <w:rPr>
                      <w:rFonts w:hint="eastAsia" w:ascii="宋体" w:hAnsi="宋体" w:eastAsia="宋体" w:cs="宋体"/>
                      <w:b/>
                      <w:bCs/>
                      <w:kern w:val="0"/>
                      <w:szCs w:val="21"/>
                    </w:rPr>
                    <w:t>消火栓、消防喷淋</w:t>
                  </w:r>
                </w:p>
                <w:p w14:paraId="4D061287">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系统</w:t>
                  </w:r>
                </w:p>
              </w:tc>
              <w:tc>
                <w:tcPr>
                  <w:tcW w:w="294" w:type="pct"/>
                  <w:vMerge w:val="restart"/>
                  <w:tcBorders>
                    <w:top w:val="single" w:color="auto" w:sz="4" w:space="0"/>
                    <w:left w:val="nil"/>
                    <w:right w:val="single" w:color="auto" w:sz="4" w:space="0"/>
                  </w:tcBorders>
                  <w:vAlign w:val="center"/>
                </w:tcPr>
                <w:p w14:paraId="69B5BFF3">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10分</w:t>
                  </w:r>
                </w:p>
              </w:tc>
              <w:tc>
                <w:tcPr>
                  <w:tcW w:w="1628" w:type="pct"/>
                  <w:tcBorders>
                    <w:top w:val="single" w:color="auto" w:sz="4" w:space="0"/>
                    <w:left w:val="nil"/>
                    <w:bottom w:val="single" w:color="auto" w:sz="4" w:space="0"/>
                    <w:right w:val="single" w:color="auto" w:sz="4" w:space="0"/>
                  </w:tcBorders>
                  <w:vAlign w:val="center"/>
                </w:tcPr>
                <w:p w14:paraId="03F0CF7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检查消火栓箱及配置的消防部件是否正常</w:t>
                  </w:r>
                </w:p>
              </w:tc>
              <w:tc>
                <w:tcPr>
                  <w:tcW w:w="1012" w:type="pct"/>
                  <w:tcBorders>
                    <w:top w:val="single" w:color="auto" w:sz="4" w:space="0"/>
                    <w:left w:val="nil"/>
                    <w:bottom w:val="single" w:color="auto" w:sz="4" w:space="0"/>
                    <w:right w:val="single" w:color="auto" w:sz="4" w:space="0"/>
                  </w:tcBorders>
                  <w:vAlign w:val="center"/>
                </w:tcPr>
                <w:p w14:paraId="558AED2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不符合要求每次扣2分</w:t>
                  </w:r>
                </w:p>
              </w:tc>
              <w:tc>
                <w:tcPr>
                  <w:tcW w:w="822" w:type="pct"/>
                  <w:tcBorders>
                    <w:top w:val="single" w:color="auto" w:sz="4" w:space="0"/>
                    <w:left w:val="single" w:color="auto" w:sz="4" w:space="0"/>
                    <w:bottom w:val="single" w:color="auto" w:sz="4" w:space="0"/>
                    <w:right w:val="single" w:color="auto" w:sz="4" w:space="0"/>
                  </w:tcBorders>
                  <w:vAlign w:val="center"/>
                </w:tcPr>
                <w:p w14:paraId="58018CF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single" w:color="auto" w:sz="4" w:space="0"/>
                    <w:bottom w:val="single" w:color="auto" w:sz="4" w:space="0"/>
                    <w:right w:val="single" w:color="auto" w:sz="4" w:space="0"/>
                  </w:tcBorders>
                  <w:vAlign w:val="center"/>
                </w:tcPr>
                <w:p w14:paraId="0462C9D7">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single" w:color="auto" w:sz="4" w:space="0"/>
                    <w:bottom w:val="single" w:color="auto" w:sz="4" w:space="0"/>
                    <w:right w:val="single" w:color="auto" w:sz="4" w:space="0"/>
                  </w:tcBorders>
                </w:tcPr>
                <w:p w14:paraId="26B79CD4">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75BFD713">
              <w:tblPrEx>
                <w:tblCellMar>
                  <w:top w:w="0" w:type="dxa"/>
                  <w:left w:w="108" w:type="dxa"/>
                  <w:bottom w:w="0" w:type="dxa"/>
                  <w:right w:w="108" w:type="dxa"/>
                </w:tblCellMar>
              </w:tblPrEx>
              <w:trPr>
                <w:trHeight w:val="1035" w:hRule="atLeast"/>
                <w:jc w:val="center"/>
              </w:trPr>
              <w:tc>
                <w:tcPr>
                  <w:tcW w:w="268" w:type="pct"/>
                  <w:vMerge w:val="continue"/>
                  <w:tcBorders>
                    <w:left w:val="single" w:color="auto" w:sz="4" w:space="0"/>
                    <w:right w:val="single" w:color="auto" w:sz="4" w:space="0"/>
                  </w:tcBorders>
                  <w:vAlign w:val="center"/>
                </w:tcPr>
                <w:p w14:paraId="389BE000">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430" w:type="pct"/>
                  <w:vMerge w:val="continue"/>
                  <w:tcBorders>
                    <w:left w:val="single" w:color="auto" w:sz="4" w:space="0"/>
                    <w:right w:val="single" w:color="auto" w:sz="4" w:space="0"/>
                  </w:tcBorders>
                  <w:vAlign w:val="center"/>
                </w:tcPr>
                <w:p w14:paraId="76552D05">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p>
              </w:tc>
              <w:tc>
                <w:tcPr>
                  <w:tcW w:w="294" w:type="pct"/>
                  <w:vMerge w:val="continue"/>
                  <w:tcBorders>
                    <w:left w:val="nil"/>
                    <w:right w:val="single" w:color="auto" w:sz="4" w:space="0"/>
                  </w:tcBorders>
                  <w:vAlign w:val="center"/>
                </w:tcPr>
                <w:p w14:paraId="3921677C">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1628" w:type="pct"/>
                  <w:tcBorders>
                    <w:top w:val="single" w:color="auto" w:sz="4" w:space="0"/>
                    <w:left w:val="nil"/>
                    <w:bottom w:val="single" w:color="auto" w:sz="4" w:space="0"/>
                    <w:right w:val="single" w:color="auto" w:sz="4" w:space="0"/>
                  </w:tcBorders>
                  <w:vAlign w:val="center"/>
                </w:tcPr>
                <w:p w14:paraId="56AE00BE">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检查管道接口、阀门等消防管网是否正常</w:t>
                  </w:r>
                </w:p>
              </w:tc>
              <w:tc>
                <w:tcPr>
                  <w:tcW w:w="1012" w:type="pct"/>
                  <w:tcBorders>
                    <w:top w:val="single" w:color="auto" w:sz="4" w:space="0"/>
                    <w:left w:val="nil"/>
                    <w:bottom w:val="single" w:color="auto" w:sz="4" w:space="0"/>
                    <w:right w:val="single" w:color="auto" w:sz="4" w:space="0"/>
                  </w:tcBorders>
                  <w:vAlign w:val="center"/>
                </w:tcPr>
                <w:p w14:paraId="3B5B8FCF">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不符合要求每次扣2分</w:t>
                  </w:r>
                </w:p>
              </w:tc>
              <w:tc>
                <w:tcPr>
                  <w:tcW w:w="822" w:type="pct"/>
                  <w:tcBorders>
                    <w:top w:val="single" w:color="auto" w:sz="4" w:space="0"/>
                    <w:left w:val="single" w:color="auto" w:sz="4" w:space="0"/>
                    <w:bottom w:val="single" w:color="auto" w:sz="4" w:space="0"/>
                    <w:right w:val="single" w:color="auto" w:sz="4" w:space="0"/>
                  </w:tcBorders>
                  <w:vAlign w:val="center"/>
                </w:tcPr>
                <w:p w14:paraId="5762E055">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single" w:color="auto" w:sz="4" w:space="0"/>
                    <w:bottom w:val="single" w:color="auto" w:sz="4" w:space="0"/>
                    <w:right w:val="single" w:color="auto" w:sz="4" w:space="0"/>
                  </w:tcBorders>
                  <w:vAlign w:val="center"/>
                </w:tcPr>
                <w:p w14:paraId="6703814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single" w:color="auto" w:sz="4" w:space="0"/>
                    <w:bottom w:val="single" w:color="auto" w:sz="4" w:space="0"/>
                    <w:right w:val="single" w:color="auto" w:sz="4" w:space="0"/>
                  </w:tcBorders>
                </w:tcPr>
                <w:p w14:paraId="5F5A4950">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3300E623">
              <w:tblPrEx>
                <w:tblCellMar>
                  <w:top w:w="0" w:type="dxa"/>
                  <w:left w:w="108" w:type="dxa"/>
                  <w:bottom w:w="0" w:type="dxa"/>
                  <w:right w:w="108" w:type="dxa"/>
                </w:tblCellMar>
              </w:tblPrEx>
              <w:trPr>
                <w:trHeight w:val="698" w:hRule="atLeast"/>
                <w:jc w:val="center"/>
              </w:trPr>
              <w:tc>
                <w:tcPr>
                  <w:tcW w:w="268" w:type="pct"/>
                  <w:vMerge w:val="continue"/>
                  <w:tcBorders>
                    <w:left w:val="single" w:color="auto" w:sz="4" w:space="0"/>
                    <w:bottom w:val="single" w:color="auto" w:sz="4" w:space="0"/>
                    <w:right w:val="single" w:color="auto" w:sz="4" w:space="0"/>
                  </w:tcBorders>
                  <w:vAlign w:val="center"/>
                </w:tcPr>
                <w:p w14:paraId="6F13D25E">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430" w:type="pct"/>
                  <w:vMerge w:val="continue"/>
                  <w:tcBorders>
                    <w:left w:val="single" w:color="auto" w:sz="4" w:space="0"/>
                    <w:bottom w:val="single" w:color="auto" w:sz="4" w:space="0"/>
                    <w:right w:val="single" w:color="auto" w:sz="4" w:space="0"/>
                  </w:tcBorders>
                  <w:vAlign w:val="center"/>
                </w:tcPr>
                <w:p w14:paraId="0F35C2B8">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p>
              </w:tc>
              <w:tc>
                <w:tcPr>
                  <w:tcW w:w="294" w:type="pct"/>
                  <w:vMerge w:val="continue"/>
                  <w:tcBorders>
                    <w:left w:val="nil"/>
                    <w:bottom w:val="single" w:color="auto" w:sz="4" w:space="0"/>
                    <w:right w:val="single" w:color="auto" w:sz="4" w:space="0"/>
                  </w:tcBorders>
                  <w:vAlign w:val="center"/>
                </w:tcPr>
                <w:p w14:paraId="2018DBFC">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1628" w:type="pct"/>
                  <w:tcBorders>
                    <w:top w:val="single" w:color="auto" w:sz="4" w:space="0"/>
                    <w:left w:val="nil"/>
                    <w:bottom w:val="single" w:color="auto" w:sz="4" w:space="0"/>
                    <w:right w:val="single" w:color="auto" w:sz="4" w:space="0"/>
                  </w:tcBorders>
                  <w:vAlign w:val="center"/>
                </w:tcPr>
                <w:p w14:paraId="5A98AC9E">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检查测试消火栓泵和喷淋泵等各消防水泵是否正常</w:t>
                  </w:r>
                </w:p>
              </w:tc>
              <w:tc>
                <w:tcPr>
                  <w:tcW w:w="1012" w:type="pct"/>
                  <w:tcBorders>
                    <w:top w:val="single" w:color="auto" w:sz="4" w:space="0"/>
                    <w:left w:val="nil"/>
                    <w:bottom w:val="single" w:color="auto" w:sz="4" w:space="0"/>
                    <w:right w:val="single" w:color="auto" w:sz="4" w:space="0"/>
                  </w:tcBorders>
                  <w:vAlign w:val="center"/>
                </w:tcPr>
                <w:p w14:paraId="4D4CDCE4">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不符合要求每次扣2分</w:t>
                  </w:r>
                </w:p>
              </w:tc>
              <w:tc>
                <w:tcPr>
                  <w:tcW w:w="822" w:type="pct"/>
                  <w:tcBorders>
                    <w:top w:val="single" w:color="auto" w:sz="4" w:space="0"/>
                    <w:left w:val="single" w:color="auto" w:sz="4" w:space="0"/>
                    <w:bottom w:val="single" w:color="auto" w:sz="4" w:space="0"/>
                    <w:right w:val="single" w:color="auto" w:sz="4" w:space="0"/>
                  </w:tcBorders>
                  <w:vAlign w:val="center"/>
                </w:tcPr>
                <w:p w14:paraId="6EBDB53F">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single" w:color="auto" w:sz="4" w:space="0"/>
                    <w:bottom w:val="single" w:color="auto" w:sz="4" w:space="0"/>
                    <w:right w:val="single" w:color="auto" w:sz="4" w:space="0"/>
                  </w:tcBorders>
                  <w:vAlign w:val="center"/>
                </w:tcPr>
                <w:p w14:paraId="20737181">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single" w:color="auto" w:sz="4" w:space="0"/>
                    <w:bottom w:val="single" w:color="auto" w:sz="4" w:space="0"/>
                    <w:right w:val="single" w:color="auto" w:sz="4" w:space="0"/>
                  </w:tcBorders>
                </w:tcPr>
                <w:p w14:paraId="0EE4FE8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2B8C11AA">
              <w:tblPrEx>
                <w:tblCellMar>
                  <w:top w:w="0" w:type="dxa"/>
                  <w:left w:w="108" w:type="dxa"/>
                  <w:bottom w:w="0" w:type="dxa"/>
                  <w:right w:w="108" w:type="dxa"/>
                </w:tblCellMar>
              </w:tblPrEx>
              <w:trPr>
                <w:trHeight w:val="1508" w:hRule="atLeast"/>
                <w:jc w:val="center"/>
              </w:trPr>
              <w:tc>
                <w:tcPr>
                  <w:tcW w:w="268" w:type="pct"/>
                  <w:tcBorders>
                    <w:top w:val="single" w:color="auto" w:sz="4" w:space="0"/>
                    <w:left w:val="single" w:color="auto" w:sz="4" w:space="0"/>
                    <w:bottom w:val="single" w:color="auto" w:sz="4" w:space="0"/>
                    <w:right w:val="single" w:color="auto" w:sz="4" w:space="0"/>
                  </w:tcBorders>
                  <w:vAlign w:val="center"/>
                </w:tcPr>
                <w:p w14:paraId="24509388">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6</w:t>
                  </w:r>
                </w:p>
                <w:p w14:paraId="2C0F7B53">
                  <w:pPr>
                    <w:keepNext w:val="0"/>
                    <w:keepLines w:val="0"/>
                    <w:suppressLineNumbers w:val="0"/>
                    <w:spacing w:before="0" w:beforeAutospacing="0" w:after="0" w:afterAutospacing="0"/>
                    <w:ind w:left="0" w:right="0"/>
                    <w:jc w:val="center"/>
                    <w:rPr>
                      <w:rFonts w:hint="default" w:ascii="宋体" w:hAnsi="宋体" w:eastAsia="宋体" w:cs="宋体"/>
                      <w:kern w:val="0"/>
                      <w:szCs w:val="21"/>
                    </w:rPr>
                  </w:pPr>
                </w:p>
              </w:tc>
              <w:tc>
                <w:tcPr>
                  <w:tcW w:w="430" w:type="pct"/>
                  <w:tcBorders>
                    <w:top w:val="single" w:color="auto" w:sz="4" w:space="0"/>
                    <w:left w:val="single" w:color="auto" w:sz="4" w:space="0"/>
                    <w:bottom w:val="single" w:color="auto" w:sz="4" w:space="0"/>
                    <w:right w:val="single" w:color="auto" w:sz="4" w:space="0"/>
                  </w:tcBorders>
                  <w:textDirection w:val="tbRlV"/>
                  <w:vAlign w:val="center"/>
                </w:tcPr>
                <w:p w14:paraId="35AC03EA">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Cs w:val="21"/>
                    </w:rPr>
                  </w:pPr>
                  <w:r>
                    <w:rPr>
                      <w:rFonts w:hint="eastAsia" w:ascii="宋体" w:hAnsi="宋体" w:eastAsia="宋体" w:cs="宋体"/>
                      <w:b/>
                      <w:bCs/>
                      <w:kern w:val="0"/>
                      <w:szCs w:val="21"/>
                    </w:rPr>
                    <w:t>试水</w:t>
                  </w:r>
                </w:p>
              </w:tc>
              <w:tc>
                <w:tcPr>
                  <w:tcW w:w="294" w:type="pct"/>
                  <w:tcBorders>
                    <w:top w:val="single" w:color="auto" w:sz="4" w:space="0"/>
                    <w:left w:val="nil"/>
                    <w:bottom w:val="single" w:color="auto" w:sz="4" w:space="0"/>
                    <w:right w:val="single" w:color="auto" w:sz="4" w:space="0"/>
                  </w:tcBorders>
                  <w:vAlign w:val="center"/>
                </w:tcPr>
                <w:p w14:paraId="20FF49F0">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10分</w:t>
                  </w:r>
                </w:p>
              </w:tc>
              <w:tc>
                <w:tcPr>
                  <w:tcW w:w="1628" w:type="pct"/>
                  <w:tcBorders>
                    <w:top w:val="single" w:color="auto" w:sz="4" w:space="0"/>
                    <w:left w:val="nil"/>
                    <w:bottom w:val="single" w:color="auto" w:sz="4" w:space="0"/>
                    <w:right w:val="single" w:color="auto" w:sz="4" w:space="0"/>
                  </w:tcBorders>
                  <w:vAlign w:val="center"/>
                </w:tcPr>
                <w:p w14:paraId="28426E4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试水检查楼层水流指示器及湿式报警阀是否正常</w:t>
                  </w:r>
                </w:p>
              </w:tc>
              <w:tc>
                <w:tcPr>
                  <w:tcW w:w="1012" w:type="pct"/>
                  <w:tcBorders>
                    <w:top w:val="single" w:color="auto" w:sz="4" w:space="0"/>
                    <w:left w:val="nil"/>
                    <w:bottom w:val="single" w:color="auto" w:sz="4" w:space="0"/>
                    <w:right w:val="single" w:color="auto" w:sz="4" w:space="0"/>
                  </w:tcBorders>
                  <w:vAlign w:val="center"/>
                </w:tcPr>
                <w:p w14:paraId="069E40B1">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不符合要求每处扣1-2分</w:t>
                  </w:r>
                </w:p>
              </w:tc>
              <w:tc>
                <w:tcPr>
                  <w:tcW w:w="822" w:type="pct"/>
                  <w:tcBorders>
                    <w:top w:val="single" w:color="auto" w:sz="4" w:space="0"/>
                    <w:left w:val="single" w:color="auto" w:sz="4" w:space="0"/>
                    <w:bottom w:val="single" w:color="auto" w:sz="4" w:space="0"/>
                    <w:right w:val="single" w:color="auto" w:sz="4" w:space="0"/>
                  </w:tcBorders>
                  <w:vAlign w:val="center"/>
                </w:tcPr>
                <w:p w14:paraId="1908340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7CA23059">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68B50E3F">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75C24F4A">
              <w:tblPrEx>
                <w:tblCellMar>
                  <w:top w:w="0" w:type="dxa"/>
                  <w:left w:w="108" w:type="dxa"/>
                  <w:bottom w:w="0" w:type="dxa"/>
                  <w:right w:w="108" w:type="dxa"/>
                </w:tblCellMar>
              </w:tblPrEx>
              <w:trPr>
                <w:trHeight w:val="1366" w:hRule="atLeast"/>
                <w:jc w:val="center"/>
              </w:trPr>
              <w:tc>
                <w:tcPr>
                  <w:tcW w:w="268" w:type="pct"/>
                  <w:tcBorders>
                    <w:top w:val="single" w:color="auto" w:sz="4" w:space="0"/>
                    <w:left w:val="single" w:color="auto" w:sz="4" w:space="0"/>
                    <w:bottom w:val="single" w:color="auto" w:sz="4" w:space="0"/>
                    <w:right w:val="single" w:color="auto" w:sz="4" w:space="0"/>
                  </w:tcBorders>
                  <w:vAlign w:val="center"/>
                </w:tcPr>
                <w:p w14:paraId="056269E4">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7</w:t>
                  </w:r>
                </w:p>
              </w:tc>
              <w:tc>
                <w:tcPr>
                  <w:tcW w:w="430" w:type="pct"/>
                  <w:tcBorders>
                    <w:top w:val="single" w:color="auto" w:sz="4" w:space="0"/>
                    <w:left w:val="single" w:color="auto" w:sz="4" w:space="0"/>
                    <w:bottom w:val="single" w:color="auto" w:sz="4" w:space="0"/>
                    <w:right w:val="single" w:color="auto" w:sz="4" w:space="0"/>
                  </w:tcBorders>
                  <w:textDirection w:val="tbRlV"/>
                  <w:vAlign w:val="center"/>
                </w:tcPr>
                <w:p w14:paraId="1543159A">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Cs w:val="21"/>
                    </w:rPr>
                  </w:pPr>
                  <w:r>
                    <w:rPr>
                      <w:rFonts w:hint="eastAsia" w:ascii="宋体" w:hAnsi="宋体" w:eastAsia="宋体" w:cs="宋体"/>
                      <w:b/>
                      <w:bCs/>
                      <w:kern w:val="0"/>
                      <w:szCs w:val="21"/>
                    </w:rPr>
                    <w:t>气体灭火</w:t>
                  </w:r>
                </w:p>
              </w:tc>
              <w:tc>
                <w:tcPr>
                  <w:tcW w:w="294" w:type="pct"/>
                  <w:tcBorders>
                    <w:top w:val="single" w:color="auto" w:sz="4" w:space="0"/>
                    <w:left w:val="nil"/>
                    <w:bottom w:val="single" w:color="auto" w:sz="4" w:space="0"/>
                    <w:right w:val="single" w:color="auto" w:sz="4" w:space="0"/>
                  </w:tcBorders>
                  <w:vAlign w:val="center"/>
                </w:tcPr>
                <w:p w14:paraId="3B034735">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10分</w:t>
                  </w:r>
                </w:p>
              </w:tc>
              <w:tc>
                <w:tcPr>
                  <w:tcW w:w="1628" w:type="pct"/>
                  <w:tcBorders>
                    <w:top w:val="single" w:color="auto" w:sz="4" w:space="0"/>
                    <w:left w:val="nil"/>
                    <w:bottom w:val="single" w:color="auto" w:sz="4" w:space="0"/>
                    <w:right w:val="single" w:color="auto" w:sz="4" w:space="0"/>
                  </w:tcBorders>
                  <w:vAlign w:val="center"/>
                </w:tcPr>
                <w:p w14:paraId="5D998DF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检查消防气体灭火系统设备是否正常</w:t>
                  </w:r>
                </w:p>
              </w:tc>
              <w:tc>
                <w:tcPr>
                  <w:tcW w:w="1012" w:type="pct"/>
                  <w:tcBorders>
                    <w:top w:val="single" w:color="auto" w:sz="4" w:space="0"/>
                    <w:left w:val="nil"/>
                    <w:bottom w:val="single" w:color="auto" w:sz="4" w:space="0"/>
                    <w:right w:val="single" w:color="auto" w:sz="4" w:space="0"/>
                  </w:tcBorders>
                  <w:vAlign w:val="center"/>
                </w:tcPr>
                <w:p w14:paraId="1D1DE01E">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不符合要求每处扣2分</w:t>
                  </w:r>
                </w:p>
              </w:tc>
              <w:tc>
                <w:tcPr>
                  <w:tcW w:w="822" w:type="pct"/>
                  <w:tcBorders>
                    <w:top w:val="single" w:color="auto" w:sz="4" w:space="0"/>
                    <w:left w:val="single" w:color="auto" w:sz="4" w:space="0"/>
                    <w:bottom w:val="single" w:color="auto" w:sz="4" w:space="0"/>
                    <w:right w:val="single" w:color="auto" w:sz="4" w:space="0"/>
                  </w:tcBorders>
                  <w:vAlign w:val="center"/>
                </w:tcPr>
                <w:p w14:paraId="71C98BFC">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single" w:color="auto" w:sz="4" w:space="0"/>
                    <w:bottom w:val="single" w:color="auto" w:sz="4" w:space="0"/>
                    <w:right w:val="single" w:color="auto" w:sz="4" w:space="0"/>
                  </w:tcBorders>
                  <w:vAlign w:val="center"/>
                </w:tcPr>
                <w:p w14:paraId="2368CFE8">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single" w:color="auto" w:sz="4" w:space="0"/>
                    <w:bottom w:val="single" w:color="auto" w:sz="4" w:space="0"/>
                    <w:right w:val="single" w:color="auto" w:sz="4" w:space="0"/>
                  </w:tcBorders>
                </w:tcPr>
                <w:p w14:paraId="7635969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670D4149">
              <w:tblPrEx>
                <w:tblCellMar>
                  <w:top w:w="0" w:type="dxa"/>
                  <w:left w:w="108" w:type="dxa"/>
                  <w:bottom w:w="0" w:type="dxa"/>
                  <w:right w:w="108" w:type="dxa"/>
                </w:tblCellMar>
              </w:tblPrEx>
              <w:trPr>
                <w:trHeight w:val="1558" w:hRule="atLeast"/>
                <w:jc w:val="center"/>
              </w:trPr>
              <w:tc>
                <w:tcPr>
                  <w:tcW w:w="268" w:type="pct"/>
                  <w:tcBorders>
                    <w:top w:val="single" w:color="auto" w:sz="4" w:space="0"/>
                    <w:left w:val="single" w:color="auto" w:sz="4" w:space="0"/>
                    <w:bottom w:val="single" w:color="auto" w:sz="4" w:space="0"/>
                    <w:right w:val="single" w:color="auto" w:sz="4" w:space="0"/>
                  </w:tcBorders>
                  <w:vAlign w:val="center"/>
                </w:tcPr>
                <w:p w14:paraId="36C871BE">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8</w:t>
                  </w:r>
                </w:p>
              </w:tc>
              <w:tc>
                <w:tcPr>
                  <w:tcW w:w="430" w:type="pct"/>
                  <w:tcBorders>
                    <w:top w:val="single" w:color="auto" w:sz="4" w:space="0"/>
                    <w:left w:val="single" w:color="auto" w:sz="4" w:space="0"/>
                    <w:bottom w:val="single" w:color="auto" w:sz="4" w:space="0"/>
                    <w:right w:val="single" w:color="auto" w:sz="4" w:space="0"/>
                  </w:tcBorders>
                  <w:vAlign w:val="center"/>
                </w:tcPr>
                <w:p w14:paraId="6F5DF0A0">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Cs w:val="21"/>
                    </w:rPr>
                  </w:pPr>
                  <w:r>
                    <w:rPr>
                      <w:rFonts w:hint="eastAsia" w:ascii="宋体" w:hAnsi="宋体" w:eastAsia="宋体" w:cs="宋体"/>
                      <w:b/>
                      <w:bCs/>
                      <w:kern w:val="0"/>
                      <w:szCs w:val="21"/>
                    </w:rPr>
                    <w:t>防</w:t>
                  </w:r>
                </w:p>
                <w:p w14:paraId="20DD4F46">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Cs w:val="21"/>
                    </w:rPr>
                  </w:pPr>
                  <w:r>
                    <w:rPr>
                      <w:rFonts w:hint="eastAsia" w:ascii="宋体" w:hAnsi="宋体" w:eastAsia="宋体" w:cs="宋体"/>
                      <w:b/>
                      <w:bCs/>
                      <w:kern w:val="0"/>
                      <w:szCs w:val="21"/>
                    </w:rPr>
                    <w:t>排</w:t>
                  </w:r>
                </w:p>
                <w:p w14:paraId="5E4F4936">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Cs w:val="21"/>
                    </w:rPr>
                  </w:pPr>
                  <w:r>
                    <w:rPr>
                      <w:rFonts w:hint="eastAsia" w:ascii="宋体" w:hAnsi="宋体" w:eastAsia="宋体" w:cs="宋体"/>
                      <w:b/>
                      <w:bCs/>
                      <w:kern w:val="0"/>
                      <w:szCs w:val="21"/>
                    </w:rPr>
                    <w:t>烟</w:t>
                  </w:r>
                </w:p>
                <w:p w14:paraId="21548403">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Cs w:val="21"/>
                    </w:rPr>
                  </w:pPr>
                  <w:r>
                    <w:rPr>
                      <w:rFonts w:hint="eastAsia" w:ascii="宋体" w:hAnsi="宋体" w:eastAsia="宋体" w:cs="宋体"/>
                      <w:b/>
                      <w:bCs/>
                      <w:kern w:val="0"/>
                      <w:szCs w:val="21"/>
                    </w:rPr>
                    <w:t>系</w:t>
                  </w:r>
                </w:p>
                <w:p w14:paraId="70A542B0">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Cs w:val="21"/>
                    </w:rPr>
                  </w:pPr>
                  <w:r>
                    <w:rPr>
                      <w:rFonts w:hint="eastAsia" w:ascii="宋体" w:hAnsi="宋体" w:eastAsia="宋体" w:cs="宋体"/>
                      <w:b/>
                      <w:bCs/>
                      <w:kern w:val="0"/>
                      <w:szCs w:val="21"/>
                    </w:rPr>
                    <w:t>统</w:t>
                  </w:r>
                </w:p>
              </w:tc>
              <w:tc>
                <w:tcPr>
                  <w:tcW w:w="294" w:type="pct"/>
                  <w:tcBorders>
                    <w:top w:val="single" w:color="auto" w:sz="4" w:space="0"/>
                    <w:left w:val="nil"/>
                    <w:bottom w:val="single" w:color="auto" w:sz="4" w:space="0"/>
                    <w:right w:val="single" w:color="auto" w:sz="4" w:space="0"/>
                  </w:tcBorders>
                  <w:vAlign w:val="center"/>
                </w:tcPr>
                <w:p w14:paraId="5305AFBC">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5分</w:t>
                  </w:r>
                </w:p>
              </w:tc>
              <w:tc>
                <w:tcPr>
                  <w:tcW w:w="1628" w:type="pct"/>
                  <w:tcBorders>
                    <w:top w:val="single" w:color="auto" w:sz="4" w:space="0"/>
                    <w:left w:val="nil"/>
                    <w:bottom w:val="single" w:color="auto" w:sz="4" w:space="0"/>
                    <w:right w:val="single" w:color="auto" w:sz="4" w:space="0"/>
                  </w:tcBorders>
                  <w:vAlign w:val="center"/>
                </w:tcPr>
                <w:p w14:paraId="4E1EF7CF">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检查防排烟系统功能是否正常</w:t>
                  </w:r>
                </w:p>
              </w:tc>
              <w:tc>
                <w:tcPr>
                  <w:tcW w:w="1012" w:type="pct"/>
                  <w:tcBorders>
                    <w:top w:val="single" w:color="auto" w:sz="4" w:space="0"/>
                    <w:left w:val="nil"/>
                    <w:bottom w:val="single" w:color="auto" w:sz="4" w:space="0"/>
                    <w:right w:val="single" w:color="auto" w:sz="4" w:space="0"/>
                  </w:tcBorders>
                  <w:vAlign w:val="center"/>
                </w:tcPr>
                <w:p w14:paraId="2E94009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不符合要求每处扣2分</w:t>
                  </w:r>
                </w:p>
              </w:tc>
              <w:tc>
                <w:tcPr>
                  <w:tcW w:w="822" w:type="pct"/>
                  <w:tcBorders>
                    <w:top w:val="single" w:color="auto" w:sz="4" w:space="0"/>
                    <w:left w:val="single" w:color="auto" w:sz="4" w:space="0"/>
                    <w:bottom w:val="single" w:color="auto" w:sz="4" w:space="0"/>
                    <w:right w:val="single" w:color="auto" w:sz="4" w:space="0"/>
                  </w:tcBorders>
                  <w:vAlign w:val="center"/>
                </w:tcPr>
                <w:p w14:paraId="5DB8F711">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31C3437D">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6FB10B8F">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7959A395">
              <w:tblPrEx>
                <w:tblCellMar>
                  <w:top w:w="0" w:type="dxa"/>
                  <w:left w:w="108" w:type="dxa"/>
                  <w:bottom w:w="0" w:type="dxa"/>
                  <w:right w:w="108" w:type="dxa"/>
                </w:tblCellMar>
              </w:tblPrEx>
              <w:trPr>
                <w:trHeight w:val="450" w:hRule="atLeast"/>
                <w:jc w:val="center"/>
              </w:trPr>
              <w:tc>
                <w:tcPr>
                  <w:tcW w:w="268" w:type="pct"/>
                  <w:vMerge w:val="restart"/>
                  <w:tcBorders>
                    <w:top w:val="single" w:color="auto" w:sz="4" w:space="0"/>
                    <w:left w:val="single" w:color="auto" w:sz="4" w:space="0"/>
                    <w:bottom w:val="single" w:color="auto" w:sz="4" w:space="0"/>
                    <w:right w:val="single" w:color="auto" w:sz="4" w:space="0"/>
                  </w:tcBorders>
                  <w:vAlign w:val="center"/>
                </w:tcPr>
                <w:p w14:paraId="3DED1B2D">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9</w:t>
                  </w:r>
                </w:p>
              </w:tc>
              <w:tc>
                <w:tcPr>
                  <w:tcW w:w="430" w:type="pct"/>
                  <w:vMerge w:val="restart"/>
                  <w:tcBorders>
                    <w:top w:val="single" w:color="auto" w:sz="4" w:space="0"/>
                    <w:left w:val="single" w:color="auto" w:sz="4" w:space="0"/>
                    <w:bottom w:val="single" w:color="auto" w:sz="4" w:space="0"/>
                    <w:right w:val="single" w:color="auto" w:sz="4" w:space="0"/>
                  </w:tcBorders>
                  <w:textDirection w:val="tbRlV"/>
                  <w:vAlign w:val="center"/>
                </w:tcPr>
                <w:p w14:paraId="28BC481D">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Cs w:val="21"/>
                    </w:rPr>
                  </w:pPr>
                  <w:r>
                    <w:rPr>
                      <w:rFonts w:hint="eastAsia" w:ascii="宋体" w:hAnsi="宋体" w:eastAsia="宋体" w:cs="宋体"/>
                      <w:b/>
                      <w:bCs/>
                      <w:kern w:val="0"/>
                      <w:szCs w:val="21"/>
                    </w:rPr>
                    <w:t>防火卷帘系统</w:t>
                  </w:r>
                </w:p>
              </w:tc>
              <w:tc>
                <w:tcPr>
                  <w:tcW w:w="294" w:type="pct"/>
                  <w:vMerge w:val="restart"/>
                  <w:tcBorders>
                    <w:top w:val="single" w:color="auto" w:sz="4" w:space="0"/>
                    <w:left w:val="nil"/>
                    <w:bottom w:val="single" w:color="auto" w:sz="4" w:space="0"/>
                    <w:right w:val="single" w:color="auto" w:sz="4" w:space="0"/>
                  </w:tcBorders>
                  <w:vAlign w:val="center"/>
                </w:tcPr>
                <w:p w14:paraId="3348DEF0">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5分</w:t>
                  </w:r>
                </w:p>
              </w:tc>
              <w:tc>
                <w:tcPr>
                  <w:tcW w:w="1628" w:type="pct"/>
                  <w:tcBorders>
                    <w:top w:val="single" w:color="auto" w:sz="4" w:space="0"/>
                    <w:left w:val="nil"/>
                    <w:bottom w:val="single" w:color="auto" w:sz="4" w:space="0"/>
                    <w:right w:val="single" w:color="auto" w:sz="4" w:space="0"/>
                  </w:tcBorders>
                  <w:vAlign w:val="center"/>
                </w:tcPr>
                <w:p w14:paraId="790C1347">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检查手控按钮箱是否完好</w:t>
                  </w:r>
                </w:p>
              </w:tc>
              <w:tc>
                <w:tcPr>
                  <w:tcW w:w="1012" w:type="pct"/>
                  <w:tcBorders>
                    <w:top w:val="single" w:color="auto" w:sz="4" w:space="0"/>
                    <w:left w:val="nil"/>
                    <w:bottom w:val="single" w:color="auto" w:sz="4" w:space="0"/>
                    <w:right w:val="single" w:color="auto" w:sz="4" w:space="0"/>
                  </w:tcBorders>
                  <w:vAlign w:val="center"/>
                </w:tcPr>
                <w:p w14:paraId="5BB4877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不符合要求每次扣1分</w:t>
                  </w:r>
                </w:p>
              </w:tc>
              <w:tc>
                <w:tcPr>
                  <w:tcW w:w="822" w:type="pct"/>
                  <w:tcBorders>
                    <w:top w:val="single" w:color="auto" w:sz="4" w:space="0"/>
                    <w:left w:val="single" w:color="auto" w:sz="4" w:space="0"/>
                    <w:bottom w:val="single" w:color="auto" w:sz="4" w:space="0"/>
                    <w:right w:val="single" w:color="auto" w:sz="4" w:space="0"/>
                  </w:tcBorders>
                  <w:vAlign w:val="center"/>
                </w:tcPr>
                <w:p w14:paraId="74063C98">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2E07F07E">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4728D721">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77E19F89">
              <w:tblPrEx>
                <w:tblCellMar>
                  <w:top w:w="0" w:type="dxa"/>
                  <w:left w:w="108" w:type="dxa"/>
                  <w:bottom w:w="0" w:type="dxa"/>
                  <w:right w:w="108" w:type="dxa"/>
                </w:tblCellMar>
              </w:tblPrEx>
              <w:trPr>
                <w:trHeight w:val="45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00DED428">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3E5DF1F5">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p>
              </w:tc>
              <w:tc>
                <w:tcPr>
                  <w:tcW w:w="294" w:type="pct"/>
                  <w:vMerge w:val="continue"/>
                  <w:tcBorders>
                    <w:top w:val="single" w:color="auto" w:sz="4" w:space="0"/>
                    <w:left w:val="nil"/>
                    <w:bottom w:val="single" w:color="auto" w:sz="4" w:space="0"/>
                    <w:right w:val="single" w:color="auto" w:sz="4" w:space="0"/>
                  </w:tcBorders>
                  <w:vAlign w:val="center"/>
                </w:tcPr>
                <w:p w14:paraId="5C5D7386">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1628" w:type="pct"/>
                  <w:tcBorders>
                    <w:top w:val="single" w:color="auto" w:sz="4" w:space="0"/>
                    <w:left w:val="nil"/>
                    <w:bottom w:val="single" w:color="auto" w:sz="4" w:space="0"/>
                    <w:right w:val="single" w:color="auto" w:sz="4" w:space="0"/>
                  </w:tcBorders>
                  <w:vAlign w:val="center"/>
                </w:tcPr>
                <w:p w14:paraId="1B9F5BB7">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检查卷帘电源、控制器是否正常</w:t>
                  </w:r>
                </w:p>
              </w:tc>
              <w:tc>
                <w:tcPr>
                  <w:tcW w:w="1012" w:type="pct"/>
                  <w:tcBorders>
                    <w:top w:val="single" w:color="auto" w:sz="4" w:space="0"/>
                    <w:left w:val="nil"/>
                    <w:bottom w:val="single" w:color="auto" w:sz="4" w:space="0"/>
                    <w:right w:val="single" w:color="auto" w:sz="4" w:space="0"/>
                  </w:tcBorders>
                  <w:vAlign w:val="center"/>
                </w:tcPr>
                <w:p w14:paraId="1EA3D4B1">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不符合要求每次扣2分</w:t>
                  </w:r>
                </w:p>
              </w:tc>
              <w:tc>
                <w:tcPr>
                  <w:tcW w:w="822" w:type="pct"/>
                  <w:tcBorders>
                    <w:top w:val="single" w:color="auto" w:sz="4" w:space="0"/>
                    <w:left w:val="single" w:color="auto" w:sz="4" w:space="0"/>
                    <w:bottom w:val="single" w:color="auto" w:sz="4" w:space="0"/>
                    <w:right w:val="single" w:color="auto" w:sz="4" w:space="0"/>
                  </w:tcBorders>
                  <w:vAlign w:val="center"/>
                </w:tcPr>
                <w:p w14:paraId="135F9BD8">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1EF3A4D4">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1E91DA3D">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65CE9A7D">
              <w:tblPrEx>
                <w:tblCellMar>
                  <w:top w:w="0" w:type="dxa"/>
                  <w:left w:w="108" w:type="dxa"/>
                  <w:bottom w:w="0" w:type="dxa"/>
                  <w:right w:w="108" w:type="dxa"/>
                </w:tblCellMar>
              </w:tblPrEx>
              <w:trPr>
                <w:trHeight w:val="45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5260DD29">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7BD59C89">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p>
              </w:tc>
              <w:tc>
                <w:tcPr>
                  <w:tcW w:w="294" w:type="pct"/>
                  <w:vMerge w:val="continue"/>
                  <w:tcBorders>
                    <w:top w:val="single" w:color="auto" w:sz="4" w:space="0"/>
                    <w:left w:val="nil"/>
                    <w:bottom w:val="single" w:color="auto" w:sz="4" w:space="0"/>
                    <w:right w:val="single" w:color="auto" w:sz="4" w:space="0"/>
                  </w:tcBorders>
                  <w:vAlign w:val="center"/>
                </w:tcPr>
                <w:p w14:paraId="67F9ED1D">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1628" w:type="pct"/>
                  <w:tcBorders>
                    <w:top w:val="single" w:color="auto" w:sz="4" w:space="0"/>
                    <w:left w:val="nil"/>
                    <w:bottom w:val="single" w:color="auto" w:sz="4" w:space="0"/>
                    <w:right w:val="single" w:color="auto" w:sz="4" w:space="0"/>
                  </w:tcBorders>
                  <w:vAlign w:val="center"/>
                </w:tcPr>
                <w:p w14:paraId="66974617">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对卷帘试验一次，检查卷帘下降、上升是否正常</w:t>
                  </w:r>
                </w:p>
              </w:tc>
              <w:tc>
                <w:tcPr>
                  <w:tcW w:w="1012" w:type="pct"/>
                  <w:tcBorders>
                    <w:top w:val="single" w:color="auto" w:sz="4" w:space="0"/>
                    <w:left w:val="nil"/>
                    <w:bottom w:val="single" w:color="auto" w:sz="4" w:space="0"/>
                    <w:right w:val="single" w:color="auto" w:sz="4" w:space="0"/>
                  </w:tcBorders>
                  <w:vAlign w:val="center"/>
                </w:tcPr>
                <w:p w14:paraId="15D22AE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不符合要求每个扣1分</w:t>
                  </w:r>
                </w:p>
              </w:tc>
              <w:tc>
                <w:tcPr>
                  <w:tcW w:w="822" w:type="pct"/>
                  <w:tcBorders>
                    <w:top w:val="single" w:color="auto" w:sz="4" w:space="0"/>
                    <w:left w:val="single" w:color="auto" w:sz="4" w:space="0"/>
                    <w:bottom w:val="single" w:color="auto" w:sz="4" w:space="0"/>
                    <w:right w:val="single" w:color="auto" w:sz="4" w:space="0"/>
                  </w:tcBorders>
                  <w:vAlign w:val="center"/>
                </w:tcPr>
                <w:p w14:paraId="634BC459">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6D6B4FB8">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5EE90C34">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1F585858">
              <w:tblPrEx>
                <w:tblCellMar>
                  <w:top w:w="0" w:type="dxa"/>
                  <w:left w:w="108" w:type="dxa"/>
                  <w:bottom w:w="0" w:type="dxa"/>
                  <w:right w:w="108" w:type="dxa"/>
                </w:tblCellMar>
              </w:tblPrEx>
              <w:trPr>
                <w:trHeight w:val="578"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3E620FCB">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48E3152A">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p>
              </w:tc>
              <w:tc>
                <w:tcPr>
                  <w:tcW w:w="294" w:type="pct"/>
                  <w:vMerge w:val="continue"/>
                  <w:tcBorders>
                    <w:top w:val="single" w:color="auto" w:sz="4" w:space="0"/>
                    <w:left w:val="nil"/>
                    <w:bottom w:val="single" w:color="auto" w:sz="4" w:space="0"/>
                    <w:right w:val="single" w:color="auto" w:sz="4" w:space="0"/>
                  </w:tcBorders>
                  <w:vAlign w:val="center"/>
                </w:tcPr>
                <w:p w14:paraId="3A561E14">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1628" w:type="pct"/>
                  <w:tcBorders>
                    <w:top w:val="single" w:color="auto" w:sz="4" w:space="0"/>
                    <w:left w:val="nil"/>
                    <w:bottom w:val="single" w:color="auto" w:sz="4" w:space="0"/>
                    <w:right w:val="single" w:color="auto" w:sz="4" w:space="0"/>
                  </w:tcBorders>
                  <w:vAlign w:val="center"/>
                </w:tcPr>
                <w:p w14:paraId="1491414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升、降闸是否顺畅，到达上下限位置是否准确</w:t>
                  </w:r>
                </w:p>
              </w:tc>
              <w:tc>
                <w:tcPr>
                  <w:tcW w:w="1012" w:type="pct"/>
                  <w:tcBorders>
                    <w:top w:val="single" w:color="auto" w:sz="4" w:space="0"/>
                    <w:left w:val="nil"/>
                    <w:bottom w:val="single" w:color="auto" w:sz="4" w:space="0"/>
                    <w:right w:val="single" w:color="auto" w:sz="4" w:space="0"/>
                  </w:tcBorders>
                  <w:vAlign w:val="center"/>
                </w:tcPr>
                <w:p w14:paraId="3DE8E7B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不符合要求每次扣1分</w:t>
                  </w:r>
                </w:p>
              </w:tc>
              <w:tc>
                <w:tcPr>
                  <w:tcW w:w="822" w:type="pct"/>
                  <w:tcBorders>
                    <w:top w:val="single" w:color="auto" w:sz="4" w:space="0"/>
                    <w:left w:val="single" w:color="auto" w:sz="4" w:space="0"/>
                    <w:bottom w:val="single" w:color="auto" w:sz="4" w:space="0"/>
                    <w:right w:val="single" w:color="auto" w:sz="4" w:space="0"/>
                  </w:tcBorders>
                  <w:vAlign w:val="center"/>
                </w:tcPr>
                <w:p w14:paraId="662D2D8E">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68DD667C">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3772CD5A">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312209EB">
              <w:tblPrEx>
                <w:tblCellMar>
                  <w:top w:w="0" w:type="dxa"/>
                  <w:left w:w="108" w:type="dxa"/>
                  <w:bottom w:w="0" w:type="dxa"/>
                  <w:right w:w="108" w:type="dxa"/>
                </w:tblCellMar>
              </w:tblPrEx>
              <w:trPr>
                <w:trHeight w:val="450" w:hRule="atLeast"/>
                <w:jc w:val="center"/>
              </w:trPr>
              <w:tc>
                <w:tcPr>
                  <w:tcW w:w="268" w:type="pct"/>
                  <w:vMerge w:val="restart"/>
                  <w:tcBorders>
                    <w:top w:val="single" w:color="auto" w:sz="4" w:space="0"/>
                    <w:left w:val="single" w:color="auto" w:sz="4" w:space="0"/>
                    <w:bottom w:val="single" w:color="auto" w:sz="4" w:space="0"/>
                    <w:right w:val="single" w:color="auto" w:sz="4" w:space="0"/>
                  </w:tcBorders>
                  <w:vAlign w:val="center"/>
                </w:tcPr>
                <w:p w14:paraId="08E9A7D0">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10</w:t>
                  </w:r>
                </w:p>
              </w:tc>
              <w:tc>
                <w:tcPr>
                  <w:tcW w:w="430" w:type="pct"/>
                  <w:vMerge w:val="restart"/>
                  <w:tcBorders>
                    <w:top w:val="single" w:color="auto" w:sz="4" w:space="0"/>
                    <w:left w:val="single" w:color="auto" w:sz="4" w:space="0"/>
                    <w:bottom w:val="single" w:color="auto" w:sz="4" w:space="0"/>
                    <w:right w:val="single" w:color="auto" w:sz="4" w:space="0"/>
                  </w:tcBorders>
                  <w:vAlign w:val="center"/>
                </w:tcPr>
                <w:p w14:paraId="51F8852E">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Cs w:val="21"/>
                    </w:rPr>
                  </w:pPr>
                  <w:r>
                    <w:rPr>
                      <w:rFonts w:hint="eastAsia" w:ascii="宋体" w:hAnsi="宋体" w:eastAsia="宋体" w:cs="宋体"/>
                      <w:b/>
                      <w:bCs/>
                      <w:kern w:val="0"/>
                      <w:szCs w:val="21"/>
                    </w:rPr>
                    <w:t>防火</w:t>
                  </w:r>
                </w:p>
                <w:p w14:paraId="5A4275A5">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Cs w:val="21"/>
                    </w:rPr>
                  </w:pPr>
                  <w:r>
                    <w:rPr>
                      <w:rFonts w:hint="eastAsia" w:ascii="宋体" w:hAnsi="宋体" w:eastAsia="宋体" w:cs="宋体"/>
                      <w:b/>
                      <w:bCs/>
                      <w:kern w:val="0"/>
                      <w:szCs w:val="21"/>
                    </w:rPr>
                    <w:t>门系</w:t>
                  </w:r>
                </w:p>
                <w:p w14:paraId="378CA35A">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Cs w:val="21"/>
                    </w:rPr>
                  </w:pPr>
                  <w:r>
                    <w:rPr>
                      <w:rFonts w:hint="eastAsia" w:ascii="宋体" w:hAnsi="宋体" w:eastAsia="宋体" w:cs="宋体"/>
                      <w:b/>
                      <w:bCs/>
                      <w:kern w:val="0"/>
                      <w:szCs w:val="21"/>
                    </w:rPr>
                    <w:t>统</w:t>
                  </w:r>
                </w:p>
              </w:tc>
              <w:tc>
                <w:tcPr>
                  <w:tcW w:w="294" w:type="pct"/>
                  <w:vMerge w:val="restart"/>
                  <w:tcBorders>
                    <w:top w:val="single" w:color="auto" w:sz="4" w:space="0"/>
                    <w:left w:val="nil"/>
                    <w:bottom w:val="single" w:color="auto" w:sz="4" w:space="0"/>
                    <w:right w:val="single" w:color="auto" w:sz="4" w:space="0"/>
                  </w:tcBorders>
                  <w:vAlign w:val="center"/>
                </w:tcPr>
                <w:p w14:paraId="5ADF1934">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5分</w:t>
                  </w:r>
                </w:p>
              </w:tc>
              <w:tc>
                <w:tcPr>
                  <w:tcW w:w="1628" w:type="pct"/>
                  <w:tcBorders>
                    <w:top w:val="single" w:color="auto" w:sz="4" w:space="0"/>
                    <w:left w:val="nil"/>
                    <w:bottom w:val="single" w:color="auto" w:sz="4" w:space="0"/>
                    <w:right w:val="single" w:color="auto" w:sz="4" w:space="0"/>
                  </w:tcBorders>
                  <w:vAlign w:val="center"/>
                </w:tcPr>
                <w:p w14:paraId="68BDC9FF">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巡检防火门开闭是否正常</w:t>
                  </w:r>
                </w:p>
              </w:tc>
              <w:tc>
                <w:tcPr>
                  <w:tcW w:w="1012" w:type="pct"/>
                  <w:tcBorders>
                    <w:top w:val="single" w:color="auto" w:sz="4" w:space="0"/>
                    <w:left w:val="nil"/>
                    <w:bottom w:val="single" w:color="auto" w:sz="4" w:space="0"/>
                    <w:right w:val="single" w:color="auto" w:sz="4" w:space="0"/>
                  </w:tcBorders>
                  <w:vAlign w:val="center"/>
                </w:tcPr>
                <w:p w14:paraId="57FECB00">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不符合要求每次扣2-3分</w:t>
                  </w:r>
                </w:p>
              </w:tc>
              <w:tc>
                <w:tcPr>
                  <w:tcW w:w="822" w:type="pct"/>
                  <w:tcBorders>
                    <w:top w:val="single" w:color="auto" w:sz="4" w:space="0"/>
                    <w:left w:val="single" w:color="auto" w:sz="4" w:space="0"/>
                    <w:bottom w:val="single" w:color="auto" w:sz="4" w:space="0"/>
                    <w:right w:val="single" w:color="auto" w:sz="4" w:space="0"/>
                  </w:tcBorders>
                  <w:vAlign w:val="center"/>
                </w:tcPr>
                <w:p w14:paraId="124BF339">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5590D688">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7FF29D8C">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4196986C">
              <w:tblPrEx>
                <w:tblCellMar>
                  <w:top w:w="0" w:type="dxa"/>
                  <w:left w:w="108" w:type="dxa"/>
                  <w:bottom w:w="0" w:type="dxa"/>
                  <w:right w:w="108" w:type="dxa"/>
                </w:tblCellMar>
              </w:tblPrEx>
              <w:trPr>
                <w:trHeight w:val="724"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5CD3BCC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6186ECDD">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p>
              </w:tc>
              <w:tc>
                <w:tcPr>
                  <w:tcW w:w="294" w:type="pct"/>
                  <w:vMerge w:val="continue"/>
                  <w:tcBorders>
                    <w:top w:val="single" w:color="auto" w:sz="4" w:space="0"/>
                    <w:left w:val="nil"/>
                    <w:bottom w:val="single" w:color="auto" w:sz="4" w:space="0"/>
                    <w:right w:val="single" w:color="auto" w:sz="4" w:space="0"/>
                  </w:tcBorders>
                  <w:vAlign w:val="center"/>
                </w:tcPr>
                <w:p w14:paraId="666AAC00">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p>
              </w:tc>
              <w:tc>
                <w:tcPr>
                  <w:tcW w:w="1628" w:type="pct"/>
                  <w:tcBorders>
                    <w:top w:val="single" w:color="auto" w:sz="4" w:space="0"/>
                    <w:left w:val="nil"/>
                    <w:bottom w:val="single" w:color="auto" w:sz="4" w:space="0"/>
                    <w:right w:val="single" w:color="auto" w:sz="4" w:space="0"/>
                  </w:tcBorders>
                  <w:vAlign w:val="center"/>
                </w:tcPr>
                <w:p w14:paraId="013A9C8C">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检查防火门有无变形锈蚀，周围有无影响使用的障碍物</w:t>
                  </w:r>
                </w:p>
              </w:tc>
              <w:tc>
                <w:tcPr>
                  <w:tcW w:w="1012" w:type="pct"/>
                  <w:tcBorders>
                    <w:top w:val="single" w:color="auto" w:sz="4" w:space="0"/>
                    <w:left w:val="nil"/>
                    <w:bottom w:val="single" w:color="auto" w:sz="4" w:space="0"/>
                    <w:right w:val="single" w:color="auto" w:sz="4" w:space="0"/>
                  </w:tcBorders>
                  <w:vAlign w:val="center"/>
                </w:tcPr>
                <w:p w14:paraId="7FE53DF1">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不符合要求每次扣1-2分</w:t>
                  </w:r>
                </w:p>
              </w:tc>
              <w:tc>
                <w:tcPr>
                  <w:tcW w:w="822" w:type="pct"/>
                  <w:tcBorders>
                    <w:top w:val="single" w:color="auto" w:sz="4" w:space="0"/>
                    <w:left w:val="single" w:color="auto" w:sz="4" w:space="0"/>
                    <w:bottom w:val="single" w:color="auto" w:sz="4" w:space="0"/>
                    <w:right w:val="single" w:color="auto" w:sz="4" w:space="0"/>
                  </w:tcBorders>
                  <w:vAlign w:val="center"/>
                </w:tcPr>
                <w:p w14:paraId="2C3EDDCC">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645C54B5">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676EFDC9">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250E6898">
              <w:tblPrEx>
                <w:tblCellMar>
                  <w:top w:w="0" w:type="dxa"/>
                  <w:left w:w="108" w:type="dxa"/>
                  <w:bottom w:w="0" w:type="dxa"/>
                  <w:right w:w="108" w:type="dxa"/>
                </w:tblCellMar>
              </w:tblPrEx>
              <w:trPr>
                <w:trHeight w:val="450" w:hRule="atLeast"/>
                <w:jc w:val="center"/>
              </w:trPr>
              <w:tc>
                <w:tcPr>
                  <w:tcW w:w="268" w:type="pct"/>
                  <w:tcBorders>
                    <w:top w:val="single" w:color="auto" w:sz="4" w:space="0"/>
                    <w:left w:val="single" w:color="auto" w:sz="4" w:space="0"/>
                    <w:bottom w:val="single" w:color="auto" w:sz="4" w:space="0"/>
                    <w:right w:val="single" w:color="auto" w:sz="4" w:space="0"/>
                  </w:tcBorders>
                  <w:vAlign w:val="center"/>
                </w:tcPr>
                <w:p w14:paraId="6AEE1531">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11</w:t>
                  </w:r>
                </w:p>
              </w:tc>
              <w:tc>
                <w:tcPr>
                  <w:tcW w:w="430" w:type="pct"/>
                  <w:tcBorders>
                    <w:top w:val="single" w:color="auto" w:sz="4" w:space="0"/>
                    <w:left w:val="single" w:color="auto" w:sz="4" w:space="0"/>
                    <w:bottom w:val="single" w:color="auto" w:sz="4" w:space="0"/>
                    <w:right w:val="single" w:color="auto" w:sz="4" w:space="0"/>
                  </w:tcBorders>
                  <w:textDirection w:val="tbRlV"/>
                  <w:vAlign w:val="center"/>
                </w:tcPr>
                <w:p w14:paraId="7F0910BC">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Cs w:val="21"/>
                    </w:rPr>
                  </w:pPr>
                  <w:r>
                    <w:rPr>
                      <w:rFonts w:hint="eastAsia" w:ascii="宋体" w:hAnsi="宋体" w:eastAsia="宋体" w:cs="宋体"/>
                      <w:b/>
                      <w:bCs/>
                      <w:kern w:val="0"/>
                      <w:szCs w:val="21"/>
                    </w:rPr>
                    <w:t>灭火器</w:t>
                  </w:r>
                </w:p>
              </w:tc>
              <w:tc>
                <w:tcPr>
                  <w:tcW w:w="294" w:type="pct"/>
                  <w:tcBorders>
                    <w:top w:val="single" w:color="auto" w:sz="4" w:space="0"/>
                    <w:left w:val="nil"/>
                    <w:bottom w:val="single" w:color="auto" w:sz="4" w:space="0"/>
                    <w:right w:val="single" w:color="auto" w:sz="4" w:space="0"/>
                  </w:tcBorders>
                  <w:vAlign w:val="center"/>
                </w:tcPr>
                <w:p w14:paraId="3055164F">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5分</w:t>
                  </w:r>
                </w:p>
              </w:tc>
              <w:tc>
                <w:tcPr>
                  <w:tcW w:w="1628" w:type="pct"/>
                  <w:tcBorders>
                    <w:top w:val="single" w:color="auto" w:sz="4" w:space="0"/>
                    <w:left w:val="nil"/>
                    <w:bottom w:val="single" w:color="auto" w:sz="4" w:space="0"/>
                    <w:right w:val="single" w:color="auto" w:sz="4" w:space="0"/>
                  </w:tcBorders>
                  <w:vAlign w:val="center"/>
                </w:tcPr>
                <w:p w14:paraId="541A692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检查灭火器是否正常</w:t>
                  </w:r>
                </w:p>
              </w:tc>
              <w:tc>
                <w:tcPr>
                  <w:tcW w:w="1012" w:type="pct"/>
                  <w:tcBorders>
                    <w:top w:val="single" w:color="auto" w:sz="4" w:space="0"/>
                    <w:left w:val="nil"/>
                    <w:bottom w:val="single" w:color="auto" w:sz="4" w:space="0"/>
                    <w:right w:val="single" w:color="auto" w:sz="4" w:space="0"/>
                  </w:tcBorders>
                  <w:vAlign w:val="center"/>
                </w:tcPr>
                <w:p w14:paraId="57B2ADB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不符合要求每个扣2分</w:t>
                  </w:r>
                </w:p>
              </w:tc>
              <w:tc>
                <w:tcPr>
                  <w:tcW w:w="822" w:type="pct"/>
                  <w:tcBorders>
                    <w:top w:val="single" w:color="auto" w:sz="4" w:space="0"/>
                    <w:left w:val="single" w:color="auto" w:sz="4" w:space="0"/>
                    <w:bottom w:val="single" w:color="auto" w:sz="4" w:space="0"/>
                    <w:right w:val="single" w:color="auto" w:sz="4" w:space="0"/>
                  </w:tcBorders>
                  <w:vAlign w:val="center"/>
                </w:tcPr>
                <w:p w14:paraId="5AC6393C">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68" w:type="pct"/>
                  <w:tcBorders>
                    <w:top w:val="single" w:color="auto" w:sz="4" w:space="0"/>
                    <w:left w:val="single" w:color="auto" w:sz="4" w:space="0"/>
                    <w:bottom w:val="single" w:color="auto" w:sz="4" w:space="0"/>
                    <w:right w:val="single" w:color="auto" w:sz="4" w:space="0"/>
                  </w:tcBorders>
                  <w:vAlign w:val="center"/>
                </w:tcPr>
                <w:p w14:paraId="4BDDE67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w:t>
                  </w:r>
                </w:p>
              </w:tc>
              <w:tc>
                <w:tcPr>
                  <w:tcW w:w="273" w:type="pct"/>
                  <w:tcBorders>
                    <w:top w:val="single" w:color="auto" w:sz="4" w:space="0"/>
                    <w:left w:val="single" w:color="auto" w:sz="4" w:space="0"/>
                    <w:bottom w:val="single" w:color="auto" w:sz="4" w:space="0"/>
                    <w:right w:val="single" w:color="auto" w:sz="4" w:space="0"/>
                  </w:tcBorders>
                </w:tcPr>
                <w:p w14:paraId="2E02DB20">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15743E3C">
              <w:tblPrEx>
                <w:tblCellMar>
                  <w:top w:w="0" w:type="dxa"/>
                  <w:left w:w="108" w:type="dxa"/>
                  <w:bottom w:w="0" w:type="dxa"/>
                  <w:right w:w="108" w:type="dxa"/>
                </w:tblCellMar>
              </w:tblPrEx>
              <w:trPr>
                <w:trHeight w:val="1959" w:hRule="atLeast"/>
                <w:jc w:val="center"/>
              </w:trPr>
              <w:tc>
                <w:tcPr>
                  <w:tcW w:w="268" w:type="pct"/>
                  <w:tcBorders>
                    <w:top w:val="single" w:color="auto" w:sz="4" w:space="0"/>
                    <w:left w:val="single" w:color="auto" w:sz="4" w:space="0"/>
                    <w:bottom w:val="single" w:color="auto" w:sz="4" w:space="0"/>
                    <w:right w:val="single" w:color="auto" w:sz="4" w:space="0"/>
                  </w:tcBorders>
                  <w:vAlign w:val="center"/>
                </w:tcPr>
                <w:p w14:paraId="59E8886A">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12</w:t>
                  </w:r>
                </w:p>
              </w:tc>
              <w:tc>
                <w:tcPr>
                  <w:tcW w:w="430" w:type="pct"/>
                  <w:tcBorders>
                    <w:top w:val="single" w:color="auto" w:sz="4" w:space="0"/>
                    <w:left w:val="single" w:color="auto" w:sz="4" w:space="0"/>
                    <w:bottom w:val="single" w:color="auto" w:sz="4" w:space="0"/>
                    <w:right w:val="single" w:color="auto" w:sz="4" w:space="0"/>
                  </w:tcBorders>
                  <w:vAlign w:val="center"/>
                </w:tcPr>
                <w:p w14:paraId="3A0F2256">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照明灯、指示标志</w:t>
                  </w:r>
                </w:p>
              </w:tc>
              <w:tc>
                <w:tcPr>
                  <w:tcW w:w="294" w:type="pct"/>
                  <w:tcBorders>
                    <w:top w:val="single" w:color="auto" w:sz="4" w:space="0"/>
                    <w:left w:val="nil"/>
                    <w:bottom w:val="single" w:color="auto" w:sz="4" w:space="0"/>
                    <w:right w:val="single" w:color="auto" w:sz="4" w:space="0"/>
                  </w:tcBorders>
                  <w:vAlign w:val="center"/>
                </w:tcPr>
                <w:p w14:paraId="3805CACD">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5分</w:t>
                  </w:r>
                </w:p>
              </w:tc>
              <w:tc>
                <w:tcPr>
                  <w:tcW w:w="1628" w:type="pct"/>
                  <w:tcBorders>
                    <w:top w:val="single" w:color="auto" w:sz="4" w:space="0"/>
                    <w:left w:val="nil"/>
                    <w:bottom w:val="single" w:color="auto" w:sz="4" w:space="0"/>
                    <w:right w:val="single" w:color="auto" w:sz="4" w:space="0"/>
                  </w:tcBorders>
                  <w:vAlign w:val="center"/>
                </w:tcPr>
                <w:p w14:paraId="754CA98F">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检查应急照明灯、疏散指示灯是否正常</w:t>
                  </w:r>
                </w:p>
              </w:tc>
              <w:tc>
                <w:tcPr>
                  <w:tcW w:w="1012" w:type="pct"/>
                  <w:tcBorders>
                    <w:top w:val="single" w:color="auto" w:sz="4" w:space="0"/>
                    <w:left w:val="nil"/>
                    <w:bottom w:val="single" w:color="auto" w:sz="4" w:space="0"/>
                    <w:right w:val="single" w:color="auto" w:sz="4" w:space="0"/>
                  </w:tcBorders>
                  <w:vAlign w:val="center"/>
                </w:tcPr>
                <w:p w14:paraId="35B17DC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不符合要求每个扣2分</w:t>
                  </w:r>
                </w:p>
              </w:tc>
              <w:tc>
                <w:tcPr>
                  <w:tcW w:w="822" w:type="pct"/>
                  <w:tcBorders>
                    <w:top w:val="single" w:color="auto" w:sz="4" w:space="0"/>
                    <w:left w:val="single" w:color="auto" w:sz="4" w:space="0"/>
                    <w:bottom w:val="single" w:color="auto" w:sz="4" w:space="0"/>
                    <w:right w:val="single" w:color="auto" w:sz="4" w:space="0"/>
                  </w:tcBorders>
                  <w:vAlign w:val="center"/>
                </w:tcPr>
                <w:p w14:paraId="608D5AEC">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single" w:color="auto" w:sz="4" w:space="0"/>
                    <w:bottom w:val="single" w:color="auto" w:sz="4" w:space="0"/>
                    <w:right w:val="single" w:color="auto" w:sz="4" w:space="0"/>
                  </w:tcBorders>
                  <w:vAlign w:val="center"/>
                </w:tcPr>
                <w:p w14:paraId="53829AD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single" w:color="auto" w:sz="4" w:space="0"/>
                    <w:bottom w:val="single" w:color="auto" w:sz="4" w:space="0"/>
                    <w:right w:val="single" w:color="auto" w:sz="4" w:space="0"/>
                  </w:tcBorders>
                </w:tcPr>
                <w:p w14:paraId="0E5C2D09">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400A83E9">
              <w:tblPrEx>
                <w:tblCellMar>
                  <w:top w:w="0" w:type="dxa"/>
                  <w:left w:w="108" w:type="dxa"/>
                  <w:bottom w:w="0" w:type="dxa"/>
                  <w:right w:w="108" w:type="dxa"/>
                </w:tblCellMar>
              </w:tblPrEx>
              <w:trPr>
                <w:trHeight w:val="450" w:hRule="atLeast"/>
                <w:jc w:val="center"/>
              </w:trPr>
              <w:tc>
                <w:tcPr>
                  <w:tcW w:w="268" w:type="pct"/>
                  <w:tcBorders>
                    <w:top w:val="single" w:color="auto" w:sz="4" w:space="0"/>
                    <w:left w:val="single" w:color="auto" w:sz="4" w:space="0"/>
                    <w:bottom w:val="single" w:color="auto" w:sz="4" w:space="0"/>
                    <w:right w:val="single" w:color="auto" w:sz="4" w:space="0"/>
                  </w:tcBorders>
                  <w:vAlign w:val="center"/>
                </w:tcPr>
                <w:p w14:paraId="66421C3C">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13</w:t>
                  </w:r>
                </w:p>
              </w:tc>
              <w:tc>
                <w:tcPr>
                  <w:tcW w:w="430" w:type="pct"/>
                  <w:tcBorders>
                    <w:top w:val="single" w:color="auto" w:sz="4" w:space="0"/>
                    <w:left w:val="single" w:color="auto" w:sz="4" w:space="0"/>
                    <w:bottom w:val="single" w:color="auto" w:sz="4" w:space="0"/>
                    <w:right w:val="single" w:color="auto" w:sz="4" w:space="0"/>
                  </w:tcBorders>
                  <w:vAlign w:val="center"/>
                </w:tcPr>
                <w:p w14:paraId="0141E787">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设施设备保洁</w:t>
                  </w:r>
                </w:p>
              </w:tc>
              <w:tc>
                <w:tcPr>
                  <w:tcW w:w="294" w:type="pct"/>
                  <w:tcBorders>
                    <w:top w:val="single" w:color="auto" w:sz="4" w:space="0"/>
                    <w:left w:val="nil"/>
                    <w:bottom w:val="single" w:color="auto" w:sz="4" w:space="0"/>
                    <w:right w:val="single" w:color="auto" w:sz="4" w:space="0"/>
                  </w:tcBorders>
                  <w:vAlign w:val="center"/>
                </w:tcPr>
                <w:p w14:paraId="076EC766">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5分</w:t>
                  </w:r>
                </w:p>
              </w:tc>
              <w:tc>
                <w:tcPr>
                  <w:tcW w:w="1628" w:type="pct"/>
                  <w:tcBorders>
                    <w:top w:val="single" w:color="auto" w:sz="4" w:space="0"/>
                    <w:left w:val="nil"/>
                    <w:bottom w:val="single" w:color="auto" w:sz="4" w:space="0"/>
                    <w:right w:val="single" w:color="auto" w:sz="4" w:space="0"/>
                  </w:tcBorders>
                  <w:vAlign w:val="center"/>
                </w:tcPr>
                <w:p w14:paraId="0D8F2CD2">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color w:val="000000"/>
                      <w:kern w:val="0"/>
                      <w:szCs w:val="21"/>
                    </w:rPr>
                    <w:t>检查所有消防设施设备是否定期维护清洁，保持清洁无积尘、污迹、锈渍、霉斑、脱漆、缺损等</w:t>
                  </w:r>
                </w:p>
              </w:tc>
              <w:tc>
                <w:tcPr>
                  <w:tcW w:w="1012" w:type="pct"/>
                  <w:tcBorders>
                    <w:top w:val="single" w:color="auto" w:sz="4" w:space="0"/>
                    <w:left w:val="nil"/>
                    <w:bottom w:val="single" w:color="auto" w:sz="4" w:space="0"/>
                    <w:right w:val="single" w:color="auto" w:sz="4" w:space="0"/>
                  </w:tcBorders>
                  <w:vAlign w:val="center"/>
                </w:tcPr>
                <w:p w14:paraId="422E9349">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一项不符合要求扣2分</w:t>
                  </w:r>
                </w:p>
              </w:tc>
              <w:tc>
                <w:tcPr>
                  <w:tcW w:w="822" w:type="pct"/>
                  <w:tcBorders>
                    <w:top w:val="single" w:color="auto" w:sz="4" w:space="0"/>
                    <w:left w:val="single" w:color="auto" w:sz="4" w:space="0"/>
                    <w:bottom w:val="single" w:color="auto" w:sz="4" w:space="0"/>
                    <w:right w:val="single" w:color="auto" w:sz="4" w:space="0"/>
                  </w:tcBorders>
                  <w:vAlign w:val="center"/>
                </w:tcPr>
                <w:p w14:paraId="41F10CD3">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single" w:color="auto" w:sz="4" w:space="0"/>
                    <w:bottom w:val="single" w:color="auto" w:sz="4" w:space="0"/>
                    <w:right w:val="single" w:color="auto" w:sz="4" w:space="0"/>
                  </w:tcBorders>
                  <w:vAlign w:val="center"/>
                </w:tcPr>
                <w:p w14:paraId="0D7454C5">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single" w:color="auto" w:sz="4" w:space="0"/>
                    <w:bottom w:val="single" w:color="auto" w:sz="4" w:space="0"/>
                    <w:right w:val="single" w:color="auto" w:sz="4" w:space="0"/>
                  </w:tcBorders>
                </w:tcPr>
                <w:p w14:paraId="49BA07E6">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17514521">
              <w:tblPrEx>
                <w:tblCellMar>
                  <w:top w:w="0" w:type="dxa"/>
                  <w:left w:w="108" w:type="dxa"/>
                  <w:bottom w:w="0" w:type="dxa"/>
                  <w:right w:w="108" w:type="dxa"/>
                </w:tblCellMar>
              </w:tblPrEx>
              <w:trPr>
                <w:trHeight w:val="450" w:hRule="atLeast"/>
                <w:jc w:val="center"/>
              </w:trPr>
              <w:tc>
                <w:tcPr>
                  <w:tcW w:w="268" w:type="pct"/>
                  <w:tcBorders>
                    <w:top w:val="single" w:color="auto" w:sz="4" w:space="0"/>
                    <w:left w:val="single" w:color="auto" w:sz="4" w:space="0"/>
                    <w:bottom w:val="single" w:color="auto" w:sz="4" w:space="0"/>
                    <w:right w:val="single" w:color="auto" w:sz="4" w:space="0"/>
                  </w:tcBorders>
                  <w:vAlign w:val="center"/>
                </w:tcPr>
                <w:p w14:paraId="70411B0D">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14</w:t>
                  </w:r>
                </w:p>
              </w:tc>
              <w:tc>
                <w:tcPr>
                  <w:tcW w:w="430" w:type="pct"/>
                  <w:tcBorders>
                    <w:top w:val="single" w:color="auto" w:sz="4" w:space="0"/>
                    <w:left w:val="single" w:color="auto" w:sz="4" w:space="0"/>
                    <w:bottom w:val="single" w:color="auto" w:sz="4" w:space="0"/>
                    <w:right w:val="single" w:color="auto" w:sz="4" w:space="0"/>
                  </w:tcBorders>
                  <w:vAlign w:val="center"/>
                </w:tcPr>
                <w:p w14:paraId="46391810">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维保报告</w:t>
                  </w:r>
                </w:p>
              </w:tc>
              <w:tc>
                <w:tcPr>
                  <w:tcW w:w="294" w:type="pct"/>
                  <w:tcBorders>
                    <w:top w:val="single" w:color="auto" w:sz="4" w:space="0"/>
                    <w:left w:val="nil"/>
                    <w:bottom w:val="single" w:color="auto" w:sz="4" w:space="0"/>
                    <w:right w:val="single" w:color="auto" w:sz="4" w:space="0"/>
                  </w:tcBorders>
                  <w:vAlign w:val="center"/>
                </w:tcPr>
                <w:p w14:paraId="25A41DF5">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2分</w:t>
                  </w:r>
                </w:p>
              </w:tc>
              <w:tc>
                <w:tcPr>
                  <w:tcW w:w="1628" w:type="pct"/>
                  <w:tcBorders>
                    <w:top w:val="single" w:color="auto" w:sz="4" w:space="0"/>
                    <w:left w:val="nil"/>
                    <w:bottom w:val="single" w:color="auto" w:sz="4" w:space="0"/>
                    <w:right w:val="single" w:color="auto" w:sz="4" w:space="0"/>
                  </w:tcBorders>
                  <w:vAlign w:val="center"/>
                </w:tcPr>
                <w:p w14:paraId="4F1B203B">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color w:val="000000"/>
                      <w:kern w:val="0"/>
                      <w:szCs w:val="21"/>
                    </w:rPr>
                    <w:t>检查消防维保报告是否符合要求</w:t>
                  </w:r>
                </w:p>
              </w:tc>
              <w:tc>
                <w:tcPr>
                  <w:tcW w:w="1012" w:type="pct"/>
                  <w:tcBorders>
                    <w:top w:val="single" w:color="auto" w:sz="4" w:space="0"/>
                    <w:left w:val="nil"/>
                    <w:bottom w:val="single" w:color="auto" w:sz="4" w:space="0"/>
                    <w:right w:val="single" w:color="auto" w:sz="4" w:space="0"/>
                  </w:tcBorders>
                  <w:vAlign w:val="center"/>
                </w:tcPr>
                <w:p w14:paraId="53F1ACDF">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不符合要求扣2分</w:t>
                  </w:r>
                </w:p>
              </w:tc>
              <w:tc>
                <w:tcPr>
                  <w:tcW w:w="822" w:type="pct"/>
                  <w:tcBorders>
                    <w:top w:val="single" w:color="auto" w:sz="4" w:space="0"/>
                    <w:left w:val="single" w:color="auto" w:sz="4" w:space="0"/>
                    <w:bottom w:val="single" w:color="auto" w:sz="4" w:space="0"/>
                    <w:right w:val="single" w:color="auto" w:sz="4" w:space="0"/>
                  </w:tcBorders>
                  <w:vAlign w:val="center"/>
                </w:tcPr>
                <w:p w14:paraId="705C3EF8">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single" w:color="auto" w:sz="4" w:space="0"/>
                    <w:bottom w:val="single" w:color="auto" w:sz="4" w:space="0"/>
                    <w:right w:val="single" w:color="auto" w:sz="4" w:space="0"/>
                  </w:tcBorders>
                  <w:vAlign w:val="center"/>
                </w:tcPr>
                <w:p w14:paraId="6734A5F4">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single" w:color="auto" w:sz="4" w:space="0"/>
                    <w:bottom w:val="single" w:color="auto" w:sz="4" w:space="0"/>
                    <w:right w:val="single" w:color="auto" w:sz="4" w:space="0"/>
                  </w:tcBorders>
                </w:tcPr>
                <w:p w14:paraId="1F89B179">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543BAFDA">
              <w:tblPrEx>
                <w:tblCellMar>
                  <w:top w:w="0" w:type="dxa"/>
                  <w:left w:w="108" w:type="dxa"/>
                  <w:bottom w:w="0" w:type="dxa"/>
                  <w:right w:w="108" w:type="dxa"/>
                </w:tblCellMar>
              </w:tblPrEx>
              <w:trPr>
                <w:trHeight w:val="450" w:hRule="atLeast"/>
                <w:jc w:val="center"/>
              </w:trPr>
              <w:tc>
                <w:tcPr>
                  <w:tcW w:w="268" w:type="pct"/>
                  <w:tcBorders>
                    <w:top w:val="single" w:color="auto" w:sz="4" w:space="0"/>
                    <w:left w:val="single" w:color="auto" w:sz="4" w:space="0"/>
                    <w:bottom w:val="single" w:color="auto" w:sz="4" w:space="0"/>
                    <w:right w:val="single" w:color="auto" w:sz="4" w:space="0"/>
                  </w:tcBorders>
                  <w:vAlign w:val="center"/>
                </w:tcPr>
                <w:p w14:paraId="7DCDA3BD">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15</w:t>
                  </w:r>
                </w:p>
              </w:tc>
              <w:tc>
                <w:tcPr>
                  <w:tcW w:w="430" w:type="pct"/>
                  <w:tcBorders>
                    <w:left w:val="single" w:color="auto" w:sz="4" w:space="0"/>
                    <w:bottom w:val="single" w:color="auto" w:sz="4" w:space="0"/>
                    <w:right w:val="single" w:color="auto" w:sz="4" w:space="0"/>
                  </w:tcBorders>
                  <w:vAlign w:val="center"/>
                </w:tcPr>
                <w:p w14:paraId="106B52B9">
                  <w:pPr>
                    <w:keepNext w:val="0"/>
                    <w:keepLines w:val="0"/>
                    <w:widowControl/>
                    <w:suppressLineNumbers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应急响应</w:t>
                  </w:r>
                </w:p>
              </w:tc>
              <w:tc>
                <w:tcPr>
                  <w:tcW w:w="294" w:type="pct"/>
                  <w:tcBorders>
                    <w:top w:val="single" w:color="auto" w:sz="4" w:space="0"/>
                    <w:left w:val="nil"/>
                    <w:bottom w:val="single" w:color="auto" w:sz="4" w:space="0"/>
                    <w:right w:val="single" w:color="auto" w:sz="4" w:space="0"/>
                  </w:tcBorders>
                  <w:vAlign w:val="center"/>
                </w:tcPr>
                <w:p w14:paraId="612E596E">
                  <w:pPr>
                    <w:keepNext w:val="0"/>
                    <w:keepLines w:val="0"/>
                    <w:widowControl/>
                    <w:suppressLineNumbers w:val="0"/>
                    <w:spacing w:before="0" w:beforeAutospacing="0" w:after="0" w:afterAutospacing="0"/>
                    <w:ind w:left="0" w:right="0"/>
                    <w:jc w:val="center"/>
                    <w:rPr>
                      <w:rFonts w:hint="default" w:ascii="宋体" w:hAnsi="宋体" w:eastAsia="宋体" w:cs="宋体"/>
                      <w:kern w:val="0"/>
                      <w:szCs w:val="21"/>
                    </w:rPr>
                  </w:pPr>
                  <w:r>
                    <w:rPr>
                      <w:rFonts w:hint="default" w:ascii="宋体" w:hAnsi="宋体" w:eastAsia="宋体" w:cs="宋体"/>
                      <w:kern w:val="0"/>
                      <w:szCs w:val="21"/>
                    </w:rPr>
                    <w:t>10</w:t>
                  </w:r>
                  <w:r>
                    <w:rPr>
                      <w:rFonts w:hint="eastAsia" w:ascii="宋体" w:hAnsi="宋体" w:eastAsia="宋体" w:cs="宋体"/>
                      <w:kern w:val="0"/>
                      <w:szCs w:val="21"/>
                    </w:rPr>
                    <w:t>分</w:t>
                  </w:r>
                </w:p>
              </w:tc>
              <w:tc>
                <w:tcPr>
                  <w:tcW w:w="1628" w:type="pct"/>
                  <w:tcBorders>
                    <w:top w:val="single" w:color="auto" w:sz="4" w:space="0"/>
                    <w:left w:val="nil"/>
                    <w:bottom w:val="single" w:color="auto" w:sz="4" w:space="0"/>
                    <w:right w:val="single" w:color="auto" w:sz="4" w:space="0"/>
                  </w:tcBorders>
                  <w:vAlign w:val="center"/>
                </w:tcPr>
                <w:p w14:paraId="60E2EF01">
                  <w:pPr>
                    <w:keepNext w:val="0"/>
                    <w:keepLines w:val="0"/>
                    <w:widowControl/>
                    <w:suppressLineNumbers w:val="0"/>
                    <w:spacing w:before="0" w:beforeAutospacing="0" w:after="0" w:afterAutospacing="0"/>
                    <w:ind w:left="0" w:right="0"/>
                    <w:rPr>
                      <w:rFonts w:hint="default" w:ascii="宋体" w:hAnsi="宋体" w:eastAsia="宋体" w:cs="宋体"/>
                      <w:color w:val="000000"/>
                      <w:kern w:val="0"/>
                      <w:szCs w:val="21"/>
                    </w:rPr>
                  </w:pPr>
                  <w:r>
                    <w:rPr>
                      <w:rFonts w:hint="eastAsia" w:ascii="宋体" w:hAnsi="宋体" w:eastAsia="宋体" w:cs="宋体"/>
                      <w:color w:val="000000"/>
                      <w:kern w:val="0"/>
                      <w:szCs w:val="21"/>
                    </w:rPr>
                    <w:t>能及时、有效处理各类应急抢修、突发消防事件</w:t>
                  </w:r>
                </w:p>
              </w:tc>
              <w:tc>
                <w:tcPr>
                  <w:tcW w:w="1012" w:type="pct"/>
                  <w:tcBorders>
                    <w:top w:val="single" w:color="auto" w:sz="4" w:space="0"/>
                    <w:left w:val="nil"/>
                    <w:bottom w:val="single" w:color="auto" w:sz="4" w:space="0"/>
                    <w:right w:val="single" w:color="auto" w:sz="4" w:space="0"/>
                  </w:tcBorders>
                  <w:vAlign w:val="center"/>
                </w:tcPr>
                <w:p w14:paraId="7800269F">
                  <w:pPr>
                    <w:keepNext w:val="0"/>
                    <w:keepLines w:val="0"/>
                    <w:widowControl/>
                    <w:suppressLineNumbers w:val="0"/>
                    <w:spacing w:before="0" w:beforeAutospacing="0" w:after="0" w:afterAutospacing="0"/>
                    <w:ind w:left="0" w:right="0"/>
                    <w:rPr>
                      <w:rFonts w:hint="default" w:ascii="宋体" w:hAnsi="宋体" w:eastAsia="宋体" w:cs="宋体"/>
                      <w:color w:val="000000"/>
                      <w:kern w:val="0"/>
                      <w:szCs w:val="21"/>
                    </w:rPr>
                  </w:pPr>
                  <w:r>
                    <w:rPr>
                      <w:rFonts w:hint="eastAsia" w:ascii="宋体" w:hAnsi="宋体" w:eastAsia="宋体" w:cs="宋体"/>
                      <w:color w:val="000000"/>
                      <w:kern w:val="0"/>
                      <w:szCs w:val="21"/>
                    </w:rPr>
                    <w:t>收到故障报修后应在15分钟内及时响应处理，不符合每次扣5分。</w:t>
                  </w:r>
                </w:p>
                <w:p w14:paraId="1D4883B7">
                  <w:pPr>
                    <w:keepNext w:val="0"/>
                    <w:keepLines w:val="0"/>
                    <w:widowControl/>
                    <w:suppressLineNumbers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color w:val="000000"/>
                      <w:kern w:val="0"/>
                      <w:szCs w:val="21"/>
                    </w:rPr>
                    <w:t>因乙方问题贻误消防应急抢修、火灾应急处置，每次扣5分，造成经济损失的应负相应的赔偿责任。</w:t>
                  </w:r>
                </w:p>
              </w:tc>
              <w:tc>
                <w:tcPr>
                  <w:tcW w:w="822" w:type="pct"/>
                  <w:tcBorders>
                    <w:top w:val="single" w:color="auto" w:sz="4" w:space="0"/>
                    <w:left w:val="single" w:color="auto" w:sz="4" w:space="0"/>
                    <w:bottom w:val="single" w:color="auto" w:sz="4" w:space="0"/>
                    <w:right w:val="single" w:color="auto" w:sz="4" w:space="0"/>
                  </w:tcBorders>
                  <w:vAlign w:val="center"/>
                </w:tcPr>
                <w:p w14:paraId="3FAE173D">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68" w:type="pct"/>
                  <w:tcBorders>
                    <w:top w:val="single" w:color="auto" w:sz="4" w:space="0"/>
                    <w:left w:val="single" w:color="auto" w:sz="4" w:space="0"/>
                    <w:bottom w:val="single" w:color="auto" w:sz="4" w:space="0"/>
                    <w:right w:val="single" w:color="auto" w:sz="4" w:space="0"/>
                  </w:tcBorders>
                  <w:vAlign w:val="center"/>
                </w:tcPr>
                <w:p w14:paraId="5E67DDBE">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c>
                <w:tcPr>
                  <w:tcW w:w="273" w:type="pct"/>
                  <w:tcBorders>
                    <w:top w:val="single" w:color="auto" w:sz="4" w:space="0"/>
                    <w:left w:val="single" w:color="auto" w:sz="4" w:space="0"/>
                    <w:bottom w:val="single" w:color="auto" w:sz="4" w:space="0"/>
                    <w:right w:val="single" w:color="auto" w:sz="4" w:space="0"/>
                  </w:tcBorders>
                </w:tcPr>
                <w:p w14:paraId="534DB5DD">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r w14:paraId="24EE2B59">
              <w:tblPrEx>
                <w:tblCellMar>
                  <w:top w:w="0" w:type="dxa"/>
                  <w:left w:w="108" w:type="dxa"/>
                  <w:bottom w:w="0" w:type="dxa"/>
                  <w:right w:w="108" w:type="dxa"/>
                </w:tblCellMar>
              </w:tblPrEx>
              <w:trPr>
                <w:trHeight w:val="450" w:hRule="atLeast"/>
                <w:jc w:val="center"/>
              </w:trPr>
              <w:tc>
                <w:tcPr>
                  <w:tcW w:w="3635" w:type="pct"/>
                  <w:gridSpan w:val="5"/>
                  <w:tcBorders>
                    <w:top w:val="single" w:color="auto" w:sz="4" w:space="0"/>
                    <w:left w:val="single" w:color="auto" w:sz="4" w:space="0"/>
                    <w:bottom w:val="single" w:color="auto" w:sz="4" w:space="0"/>
                    <w:right w:val="single" w:color="auto" w:sz="4" w:space="0"/>
                  </w:tcBorders>
                  <w:vAlign w:val="center"/>
                </w:tcPr>
                <w:p w14:paraId="1808FDB0">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Cs w:val="21"/>
                    </w:rPr>
                  </w:pPr>
                  <w:r>
                    <w:rPr>
                      <w:rFonts w:hint="eastAsia" w:ascii="宋体" w:hAnsi="宋体" w:eastAsia="宋体" w:cs="宋体"/>
                      <w:b/>
                      <w:color w:val="000000"/>
                      <w:kern w:val="0"/>
                      <w:szCs w:val="21"/>
                    </w:rPr>
                    <w:t>考评得分</w:t>
                  </w:r>
                </w:p>
              </w:tc>
              <w:tc>
                <w:tcPr>
                  <w:tcW w:w="1364" w:type="pct"/>
                  <w:gridSpan w:val="3"/>
                  <w:tcBorders>
                    <w:top w:val="single" w:color="auto" w:sz="4" w:space="0"/>
                    <w:left w:val="single" w:color="auto" w:sz="4" w:space="0"/>
                    <w:bottom w:val="single" w:color="auto" w:sz="4" w:space="0"/>
                    <w:right w:val="single" w:color="auto" w:sz="4" w:space="0"/>
                  </w:tcBorders>
                  <w:vAlign w:val="center"/>
                </w:tcPr>
                <w:p w14:paraId="05362358">
                  <w:pPr>
                    <w:keepNext w:val="0"/>
                    <w:keepLines w:val="0"/>
                    <w:widowControl/>
                    <w:suppressLineNumbers w:val="0"/>
                    <w:spacing w:before="0" w:beforeAutospacing="0" w:after="0" w:afterAutospacing="0"/>
                    <w:ind w:left="0" w:right="0"/>
                    <w:rPr>
                      <w:rFonts w:hint="default" w:ascii="宋体" w:hAnsi="宋体" w:eastAsia="宋体" w:cs="宋体"/>
                      <w:kern w:val="0"/>
                      <w:szCs w:val="21"/>
                    </w:rPr>
                  </w:pPr>
                </w:p>
              </w:tc>
            </w:tr>
          </w:tbl>
          <w:p w14:paraId="6B913E5D">
            <w:pPr>
              <w:keepNext w:val="0"/>
              <w:keepLines w:val="0"/>
              <w:widowControl/>
              <w:suppressLineNumbers w:val="0"/>
              <w:spacing w:before="0" w:beforeAutospacing="0" w:after="0" w:afterAutospacing="0"/>
              <w:ind w:left="0" w:right="0"/>
              <w:rPr>
                <w:rFonts w:hint="default" w:ascii="宋体" w:hAnsi="宋体" w:eastAsia="宋体" w:cs="宋体"/>
                <w:bCs/>
                <w:kern w:val="0"/>
                <w:szCs w:val="21"/>
              </w:rPr>
            </w:pPr>
            <w:r>
              <w:rPr>
                <w:rFonts w:hint="eastAsia" w:ascii="宋体" w:hAnsi="宋体" w:eastAsia="宋体" w:cs="宋体"/>
                <w:bCs/>
                <w:kern w:val="0"/>
                <w:szCs w:val="21"/>
              </w:rPr>
              <w:t>说明：</w:t>
            </w:r>
          </w:p>
          <w:p w14:paraId="44B5F409">
            <w:pPr>
              <w:keepNext w:val="0"/>
              <w:keepLines w:val="0"/>
              <w:widowControl/>
              <w:suppressLineNumbers w:val="0"/>
              <w:spacing w:before="0" w:beforeAutospacing="0" w:after="0" w:afterAutospacing="0"/>
              <w:ind w:left="0" w:right="0"/>
              <w:rPr>
                <w:rFonts w:hint="default" w:ascii="宋体" w:hAnsi="宋体" w:eastAsia="宋体" w:cs="宋体"/>
                <w:bCs/>
                <w:kern w:val="0"/>
                <w:szCs w:val="21"/>
              </w:rPr>
            </w:pPr>
            <w:r>
              <w:rPr>
                <w:rFonts w:hint="eastAsia" w:ascii="宋体" w:hAnsi="宋体" w:eastAsia="宋体" w:cs="宋体"/>
                <w:bCs/>
                <w:kern w:val="0"/>
                <w:szCs w:val="21"/>
              </w:rPr>
              <w:t>服务质量考核以分值考评，所有考评项目扣分时不受项目分值所限，考评分85-95分为合格，月服务费全额支付，低于85分，每下降1分扣当月服务费1000元；高于95分，为优秀。</w:t>
            </w:r>
          </w:p>
          <w:p w14:paraId="3ED90FC7">
            <w:pPr>
              <w:keepNext w:val="0"/>
              <w:keepLines w:val="0"/>
              <w:suppressLineNumbers w:val="0"/>
              <w:spacing w:before="0" w:beforeAutospacing="0" w:after="0" w:afterAutospacing="0"/>
              <w:ind w:left="0" w:right="0"/>
              <w:rPr>
                <w:rFonts w:hint="default" w:ascii="宋体" w:hAnsi="宋体" w:eastAsia="宋体" w:cs="宋体"/>
                <w:bCs/>
                <w:kern w:val="0"/>
                <w:szCs w:val="21"/>
              </w:rPr>
            </w:pPr>
          </w:p>
          <w:p w14:paraId="2B680E47">
            <w:pPr>
              <w:keepNext w:val="0"/>
              <w:keepLines w:val="0"/>
              <w:suppressLineNumbers w:val="0"/>
              <w:tabs>
                <w:tab w:val="left" w:pos="540"/>
              </w:tabs>
              <w:spacing w:before="0" w:beforeAutospacing="0" w:after="0" w:afterAutospacing="0"/>
              <w:ind w:left="0" w:right="0"/>
              <w:rPr>
                <w:rFonts w:hint="default" w:ascii="宋体" w:hAnsi="宋体" w:eastAsia="宋体" w:cs="宋体"/>
                <w:bCs/>
                <w:kern w:val="0"/>
                <w:szCs w:val="21"/>
              </w:rPr>
            </w:pPr>
            <w:r>
              <w:rPr>
                <w:rFonts w:hint="eastAsia" w:ascii="宋体" w:hAnsi="宋体" w:eastAsia="宋体" w:cs="宋体"/>
                <w:bCs/>
                <w:kern w:val="0"/>
                <w:szCs w:val="21"/>
              </w:rPr>
              <w:t>维保项目负责人签名确认：                       主管考评部门签名确认：</w:t>
            </w:r>
          </w:p>
          <w:p w14:paraId="79C6C08B">
            <w:pPr>
              <w:keepNext w:val="0"/>
              <w:keepLines w:val="0"/>
              <w:suppressLineNumbers w:val="0"/>
              <w:tabs>
                <w:tab w:val="left" w:pos="540"/>
              </w:tabs>
              <w:spacing w:before="0" w:beforeAutospacing="0" w:after="0" w:afterAutospacing="0"/>
              <w:ind w:left="0" w:right="0"/>
              <w:rPr>
                <w:rFonts w:hint="default" w:ascii="宋体" w:hAnsi="宋体" w:eastAsia="宋体" w:cs="宋体"/>
                <w:bCs/>
                <w:kern w:val="0"/>
                <w:szCs w:val="21"/>
              </w:rPr>
            </w:pPr>
          </w:p>
          <w:p w14:paraId="1E900464">
            <w:pPr>
              <w:keepNext w:val="0"/>
              <w:keepLines w:val="0"/>
              <w:suppressLineNumbers w:val="0"/>
              <w:tabs>
                <w:tab w:val="left" w:pos="540"/>
              </w:tabs>
              <w:spacing w:before="0" w:beforeAutospacing="0" w:after="0" w:afterAutospacing="0"/>
              <w:ind w:left="0" w:right="0"/>
              <w:rPr>
                <w:rFonts w:hint="default" w:ascii="宋体" w:hAnsi="宋体" w:eastAsia="宋体" w:cs="宋体"/>
                <w:szCs w:val="21"/>
              </w:rPr>
            </w:pPr>
            <w:r>
              <w:rPr>
                <w:rFonts w:hint="eastAsia" w:ascii="宋体" w:hAnsi="宋体" w:eastAsia="宋体" w:cs="宋体"/>
                <w:bCs/>
                <w:kern w:val="0"/>
                <w:szCs w:val="21"/>
              </w:rPr>
              <w:t>日期</w:t>
            </w:r>
            <w:r>
              <w:rPr>
                <w:rFonts w:hint="default" w:ascii="宋体" w:hAnsi="宋体" w:eastAsia="宋体" w:cs="宋体"/>
                <w:bCs/>
                <w:kern w:val="0"/>
                <w:szCs w:val="21"/>
              </w:rPr>
              <w:t>：</w:t>
            </w:r>
            <w:r>
              <w:rPr>
                <w:rFonts w:hint="eastAsia" w:ascii="宋体" w:hAnsi="宋体" w:eastAsia="宋体" w:cs="宋体"/>
                <w:bCs/>
                <w:kern w:val="0"/>
                <w:szCs w:val="21"/>
              </w:rPr>
              <w:t xml:space="preserve">  </w:t>
            </w:r>
            <w:r>
              <w:rPr>
                <w:rFonts w:hint="default" w:ascii="宋体" w:hAnsi="宋体" w:eastAsia="宋体" w:cs="宋体"/>
                <w:bCs/>
                <w:kern w:val="0"/>
                <w:szCs w:val="21"/>
              </w:rPr>
              <w:t xml:space="preserve">  年    月   日</w:t>
            </w:r>
            <w:r>
              <w:rPr>
                <w:rFonts w:hint="eastAsia" w:ascii="宋体" w:hAnsi="宋体" w:eastAsia="宋体" w:cs="宋体"/>
                <w:bCs/>
                <w:kern w:val="0"/>
                <w:szCs w:val="21"/>
              </w:rPr>
              <w:t xml:space="preserve">                 </w:t>
            </w:r>
            <w:r>
              <w:rPr>
                <w:rFonts w:hint="default" w:ascii="宋体" w:hAnsi="宋体" w:eastAsia="宋体" w:cs="宋体"/>
                <w:bCs/>
                <w:kern w:val="0"/>
                <w:szCs w:val="21"/>
              </w:rPr>
              <w:t xml:space="preserve"> </w:t>
            </w:r>
            <w:r>
              <w:rPr>
                <w:rFonts w:hint="eastAsia" w:ascii="宋体" w:hAnsi="宋体" w:eastAsia="宋体" w:cs="宋体"/>
                <w:bCs/>
                <w:kern w:val="0"/>
                <w:szCs w:val="21"/>
              </w:rPr>
              <w:t xml:space="preserve">  </w:t>
            </w:r>
            <w:r>
              <w:rPr>
                <w:rFonts w:hint="default" w:ascii="宋体" w:hAnsi="宋体" w:eastAsia="宋体" w:cs="宋体"/>
                <w:bCs/>
                <w:kern w:val="0"/>
                <w:szCs w:val="21"/>
              </w:rPr>
              <w:t xml:space="preserve"> </w:t>
            </w:r>
            <w:r>
              <w:rPr>
                <w:rFonts w:hint="eastAsia" w:ascii="宋体" w:hAnsi="宋体" w:eastAsia="宋体" w:cs="宋体"/>
                <w:bCs/>
                <w:kern w:val="0"/>
                <w:szCs w:val="21"/>
              </w:rPr>
              <w:t xml:space="preserve"> </w:t>
            </w:r>
            <w:r>
              <w:rPr>
                <w:rFonts w:hint="default" w:ascii="宋体" w:hAnsi="宋体" w:eastAsia="宋体" w:cs="宋体"/>
                <w:bCs/>
                <w:kern w:val="0"/>
                <w:szCs w:val="21"/>
              </w:rPr>
              <w:t xml:space="preserve">  </w:t>
            </w:r>
            <w:r>
              <w:rPr>
                <w:rFonts w:hint="eastAsia" w:ascii="宋体" w:hAnsi="宋体" w:eastAsia="宋体" w:cs="宋体"/>
                <w:bCs/>
                <w:kern w:val="0"/>
                <w:szCs w:val="21"/>
              </w:rPr>
              <w:t>日期</w:t>
            </w:r>
            <w:r>
              <w:rPr>
                <w:rFonts w:hint="default" w:ascii="宋体" w:hAnsi="宋体" w:eastAsia="宋体" w:cs="宋体"/>
                <w:bCs/>
                <w:kern w:val="0"/>
                <w:szCs w:val="21"/>
              </w:rPr>
              <w:t>：</w:t>
            </w:r>
            <w:r>
              <w:rPr>
                <w:rFonts w:hint="eastAsia" w:ascii="宋体" w:hAnsi="宋体" w:eastAsia="宋体" w:cs="宋体"/>
                <w:bCs/>
                <w:kern w:val="0"/>
                <w:szCs w:val="21"/>
              </w:rPr>
              <w:t xml:space="preserve">  </w:t>
            </w:r>
            <w:r>
              <w:rPr>
                <w:rFonts w:hint="default" w:ascii="宋体" w:hAnsi="宋体" w:eastAsia="宋体" w:cs="宋体"/>
                <w:bCs/>
                <w:kern w:val="0"/>
                <w:szCs w:val="21"/>
              </w:rPr>
              <w:t xml:space="preserve"> </w:t>
            </w:r>
            <w:r>
              <w:rPr>
                <w:rFonts w:hint="eastAsia" w:ascii="宋体" w:hAnsi="宋体" w:eastAsia="宋体" w:cs="宋体"/>
                <w:bCs/>
                <w:kern w:val="0"/>
                <w:szCs w:val="21"/>
              </w:rPr>
              <w:t>年   月   日</w:t>
            </w:r>
          </w:p>
          <w:p w14:paraId="3AC8D6AE">
            <w:pPr>
              <w:keepNext w:val="0"/>
              <w:keepLines w:val="0"/>
              <w:suppressLineNumbers w:val="0"/>
              <w:spacing w:before="0" w:beforeAutospacing="0" w:after="0" w:afterAutospacing="0"/>
              <w:ind w:left="0" w:right="0"/>
              <w:rPr>
                <w:rFonts w:hint="default" w:ascii="宋体" w:hAnsi="宋体" w:eastAsia="宋体" w:cs="宋体"/>
                <w:szCs w:val="21"/>
              </w:rPr>
            </w:pPr>
          </w:p>
        </w:tc>
      </w:tr>
      <w:tr w14:paraId="3C3A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0" w:hRule="atLeast"/>
          <w:jc w:val="center"/>
        </w:trPr>
        <w:tc>
          <w:tcPr>
            <w:tcW w:w="405" w:type="pct"/>
            <w:vAlign w:val="center"/>
          </w:tcPr>
          <w:p w14:paraId="7D489222">
            <w:pPr>
              <w:keepNext w:val="0"/>
              <w:keepLines w:val="0"/>
              <w:suppressLineNumbers w:val="0"/>
              <w:spacing w:before="0" w:beforeAutospacing="0" w:after="0" w:afterAutospacing="0"/>
              <w:ind w:left="0" w:right="0"/>
              <w:jc w:val="center"/>
              <w:rPr>
                <w:rFonts w:hint="default" w:asciiTheme="minorEastAsia" w:hAnsiTheme="minorEastAsia"/>
                <w:color w:val="FF0000"/>
                <w:szCs w:val="21"/>
              </w:rPr>
            </w:pPr>
          </w:p>
        </w:tc>
        <w:tc>
          <w:tcPr>
            <w:tcW w:w="303" w:type="pct"/>
            <w:vAlign w:val="center"/>
          </w:tcPr>
          <w:p w14:paraId="25A0DC9D">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lang w:val="en-US" w:eastAsia="zh-CN"/>
              </w:rPr>
              <w:t>9</w:t>
            </w:r>
          </w:p>
        </w:tc>
        <w:tc>
          <w:tcPr>
            <w:tcW w:w="4291" w:type="pct"/>
            <w:vAlign w:val="center"/>
          </w:tcPr>
          <w:p w14:paraId="337F9AF8">
            <w:pPr>
              <w:keepNext w:val="0"/>
              <w:keepLines w:val="0"/>
              <w:suppressLineNumbers w:val="0"/>
              <w:spacing w:before="0" w:beforeAutospacing="0" w:after="0" w:afterAutospacing="0"/>
              <w:ind w:left="0" w:right="0"/>
              <w:rPr>
                <w:rFonts w:hint="default" w:ascii="宋体" w:hAnsi="宋体" w:eastAsia="宋体" w:cs="宋体"/>
                <w:b/>
                <w:bCs/>
                <w:szCs w:val="21"/>
              </w:rPr>
            </w:pPr>
            <w:r>
              <w:rPr>
                <w:rFonts w:hint="eastAsia" w:ascii="宋体" w:hAnsi="宋体" w:eastAsia="宋体" w:cs="宋体"/>
                <w:b/>
                <w:bCs/>
                <w:szCs w:val="21"/>
              </w:rPr>
              <w:t>附件二  年度考评细则</w:t>
            </w:r>
          </w:p>
          <w:p w14:paraId="42D3F373">
            <w:pPr>
              <w:pStyle w:val="45"/>
              <w:keepNext w:val="0"/>
              <w:keepLines w:val="0"/>
              <w:widowControl/>
              <w:suppressLineNumbers w:val="0"/>
              <w:spacing w:before="0" w:beforeAutospacing="0" w:after="0" w:afterAutospacing="0" w:line="360" w:lineRule="auto"/>
              <w:ind w:left="0" w:right="0"/>
              <w:jc w:val="center"/>
              <w:rPr>
                <w:rFonts w:hint="default" w:ascii="宋体" w:hAnsi="宋体" w:cs="宋体"/>
                <w:b/>
                <w:szCs w:val="21"/>
              </w:rPr>
            </w:pPr>
            <w:r>
              <w:rPr>
                <w:rFonts w:hint="eastAsia" w:ascii="宋体" w:hAnsi="宋体" w:cs="宋体"/>
                <w:b/>
                <w:szCs w:val="21"/>
              </w:rPr>
              <w:t>消防维保服务年度质量考评表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0"/>
              <w:gridCol w:w="414"/>
              <w:gridCol w:w="425"/>
              <w:gridCol w:w="415"/>
              <w:gridCol w:w="425"/>
              <w:gridCol w:w="404"/>
              <w:gridCol w:w="404"/>
              <w:gridCol w:w="436"/>
              <w:gridCol w:w="415"/>
              <w:gridCol w:w="415"/>
              <w:gridCol w:w="425"/>
              <w:gridCol w:w="418"/>
              <w:gridCol w:w="670"/>
            </w:tblGrid>
            <w:tr w14:paraId="1AC7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670" w:type="dxa"/>
                  <w:vMerge w:val="restart"/>
                  <w:tcBorders>
                    <w:tl2br w:val="single" w:color="auto" w:sz="4" w:space="0"/>
                  </w:tcBorders>
                  <w:vAlign w:val="center"/>
                </w:tcPr>
                <w:p w14:paraId="1F84669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 xml:space="preserve">                            </w:t>
                  </w:r>
                </w:p>
                <w:p w14:paraId="4DC4DAED">
                  <w:pPr>
                    <w:keepNext w:val="0"/>
                    <w:keepLines w:val="0"/>
                    <w:widowControl/>
                    <w:suppressLineNumbers w:val="0"/>
                    <w:snapToGrid w:val="0"/>
                    <w:spacing w:before="0" w:beforeAutospacing="0" w:after="0" w:afterAutospacing="0"/>
                    <w:ind w:left="0" w:right="0" w:firstLine="1155" w:firstLineChars="550"/>
                    <w:rPr>
                      <w:rFonts w:hint="default" w:ascii="宋体" w:hAnsi="宋体" w:eastAsia="宋体" w:cs="宋体"/>
                      <w:kern w:val="0"/>
                      <w:szCs w:val="21"/>
                    </w:rPr>
                  </w:pPr>
                  <w:r>
                    <w:rPr>
                      <w:rFonts w:hint="eastAsia" w:ascii="宋体" w:hAnsi="宋体" w:eastAsia="宋体" w:cs="宋体"/>
                      <w:kern w:val="0"/>
                      <w:szCs w:val="21"/>
                    </w:rPr>
                    <w:t>年度及月份</w:t>
                  </w:r>
                </w:p>
                <w:p w14:paraId="25067B4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p w14:paraId="6058DFE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考评内容、分值</w:t>
                  </w:r>
                </w:p>
              </w:tc>
              <w:tc>
                <w:tcPr>
                  <w:tcW w:w="5266" w:type="dxa"/>
                  <w:gridSpan w:val="12"/>
                  <w:vAlign w:val="center"/>
                </w:tcPr>
                <w:p w14:paraId="52DBB70E">
                  <w:pPr>
                    <w:keepNext w:val="0"/>
                    <w:keepLines w:val="0"/>
                    <w:widowControl/>
                    <w:suppressLineNumbers w:val="0"/>
                    <w:snapToGrid w:val="0"/>
                    <w:spacing w:before="0" w:beforeAutospacing="0" w:after="0" w:afterAutospacing="0"/>
                    <w:ind w:left="0" w:right="0"/>
                    <w:jc w:val="center"/>
                    <w:rPr>
                      <w:rFonts w:hint="default" w:ascii="宋体" w:hAnsi="宋体" w:eastAsia="宋体" w:cs="宋体"/>
                      <w:kern w:val="0"/>
                      <w:szCs w:val="21"/>
                    </w:rPr>
                  </w:pPr>
                  <w:r>
                    <w:rPr>
                      <w:rFonts w:hint="eastAsia" w:ascii="宋体" w:hAnsi="宋体" w:eastAsia="宋体" w:cs="宋体"/>
                      <w:kern w:val="0"/>
                      <w:szCs w:val="21"/>
                    </w:rPr>
                    <w:t>20xx年</w:t>
                  </w:r>
                </w:p>
              </w:tc>
            </w:tr>
            <w:tr w14:paraId="27DD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670" w:type="dxa"/>
                  <w:vMerge w:val="continue"/>
                  <w:tcBorders>
                    <w:tl2br w:val="single" w:color="auto" w:sz="4" w:space="0"/>
                  </w:tcBorders>
                  <w:vAlign w:val="center"/>
                </w:tcPr>
                <w:p w14:paraId="2FA1D29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4" w:type="dxa"/>
                  <w:vAlign w:val="center"/>
                </w:tcPr>
                <w:p w14:paraId="5A6DC72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28B71EB6">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2FB905D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0FF8D85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38D440D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4E743FB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5B15F0F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779EAF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3F9B9F4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05B652A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6EF71E4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7FC625E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3E2BB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72824A65">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default" w:ascii="宋体" w:hAnsi="宋体" w:eastAsia="宋体" w:cs="宋体"/>
                      <w:b/>
                      <w:bCs/>
                      <w:kern w:val="0"/>
                      <w:szCs w:val="21"/>
                    </w:rPr>
                    <w:t>项目管理（5分）</w:t>
                  </w:r>
                </w:p>
              </w:tc>
              <w:tc>
                <w:tcPr>
                  <w:tcW w:w="414" w:type="dxa"/>
                  <w:vAlign w:val="center"/>
                </w:tcPr>
                <w:p w14:paraId="0C39EA5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628097A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CF5293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145F342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2BD1B7F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419EE1F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56E6AC9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D00AD7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009012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6F1DF95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508FE15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08BAB07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2E5A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372775B3">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default" w:ascii="宋体" w:hAnsi="宋体" w:eastAsia="宋体" w:cs="宋体"/>
                      <w:b/>
                      <w:bCs/>
                      <w:kern w:val="0"/>
                      <w:szCs w:val="21"/>
                    </w:rPr>
                    <w:t>值班工作</w:t>
                  </w:r>
                  <w:r>
                    <w:rPr>
                      <w:rFonts w:hint="eastAsia" w:ascii="宋体" w:hAnsi="宋体" w:eastAsia="宋体" w:cs="宋体"/>
                      <w:b/>
                      <w:bCs/>
                      <w:kern w:val="0"/>
                      <w:szCs w:val="21"/>
                    </w:rPr>
                    <w:t>纪律（5分）</w:t>
                  </w:r>
                </w:p>
              </w:tc>
              <w:tc>
                <w:tcPr>
                  <w:tcW w:w="414" w:type="dxa"/>
                  <w:vAlign w:val="center"/>
                </w:tcPr>
                <w:p w14:paraId="25AD387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0C03E35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69E847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4C7DD6B1">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362C035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398A368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622139C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7988041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259DCC11">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65F5D2A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55B19BE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0FD7317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4219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5843F927">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自动报警、消防联动控制系统（</w:t>
                  </w:r>
                  <w:r>
                    <w:rPr>
                      <w:rFonts w:hint="default" w:ascii="宋体" w:hAnsi="宋体" w:eastAsia="宋体" w:cs="宋体"/>
                      <w:b/>
                      <w:bCs/>
                      <w:kern w:val="0"/>
                      <w:szCs w:val="21"/>
                    </w:rPr>
                    <w:t>1</w:t>
                  </w:r>
                  <w:r>
                    <w:rPr>
                      <w:rFonts w:hint="eastAsia" w:ascii="宋体" w:hAnsi="宋体" w:eastAsia="宋体" w:cs="宋体"/>
                      <w:b/>
                      <w:bCs/>
                      <w:kern w:val="0"/>
                      <w:szCs w:val="21"/>
                    </w:rPr>
                    <w:t>0分）</w:t>
                  </w:r>
                </w:p>
              </w:tc>
              <w:tc>
                <w:tcPr>
                  <w:tcW w:w="414" w:type="dxa"/>
                  <w:vAlign w:val="center"/>
                </w:tcPr>
                <w:p w14:paraId="6BA3A91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65FF37F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6A94A32F">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51BEAC7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7813F6A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7EAE634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26D5844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583286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449E1361">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776E8886">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44479C2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3C8E9C3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0115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4833E704">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破玻警音广播对讲系统（</w:t>
                  </w:r>
                  <w:r>
                    <w:rPr>
                      <w:rFonts w:hint="default" w:ascii="宋体" w:hAnsi="宋体" w:eastAsia="宋体" w:cs="宋体"/>
                      <w:b/>
                      <w:bCs/>
                      <w:kern w:val="0"/>
                      <w:szCs w:val="21"/>
                    </w:rPr>
                    <w:t>8</w:t>
                  </w:r>
                  <w:r>
                    <w:rPr>
                      <w:rFonts w:hint="eastAsia" w:ascii="宋体" w:hAnsi="宋体" w:eastAsia="宋体" w:cs="宋体"/>
                      <w:b/>
                      <w:bCs/>
                      <w:kern w:val="0"/>
                      <w:szCs w:val="21"/>
                    </w:rPr>
                    <w:t>分）</w:t>
                  </w:r>
                </w:p>
              </w:tc>
              <w:tc>
                <w:tcPr>
                  <w:tcW w:w="414" w:type="dxa"/>
                  <w:vAlign w:val="center"/>
                </w:tcPr>
                <w:p w14:paraId="33ECEE0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33C7030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2CDA425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3F4C5A3F">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29D2EC6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1EB0550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3B02E30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3A26F79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6BF6BD8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4C9C676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22BB99C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793A38A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2EE5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65CC1EC2">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消火栓、自动喷淋灭火系统（10分）</w:t>
                  </w:r>
                </w:p>
              </w:tc>
              <w:tc>
                <w:tcPr>
                  <w:tcW w:w="414" w:type="dxa"/>
                  <w:vAlign w:val="center"/>
                </w:tcPr>
                <w:p w14:paraId="76B9A72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5247450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4504011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7A483AF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6E269641">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2F87A21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49A0AC4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4FC8120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5E8C0E6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5AFAB121">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2D551E4F">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78E8420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5494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2E55EAA7">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试水（1</w:t>
                  </w:r>
                  <w:r>
                    <w:rPr>
                      <w:rFonts w:hint="default" w:ascii="宋体" w:hAnsi="宋体" w:eastAsia="宋体" w:cs="宋体"/>
                      <w:b/>
                      <w:bCs/>
                      <w:kern w:val="0"/>
                      <w:szCs w:val="21"/>
                    </w:rPr>
                    <w:t>0</w:t>
                  </w:r>
                  <w:r>
                    <w:rPr>
                      <w:rFonts w:hint="eastAsia" w:ascii="宋体" w:hAnsi="宋体" w:eastAsia="宋体" w:cs="宋体"/>
                      <w:b/>
                      <w:bCs/>
                      <w:kern w:val="0"/>
                      <w:szCs w:val="21"/>
                    </w:rPr>
                    <w:t>分）</w:t>
                  </w:r>
                </w:p>
              </w:tc>
              <w:tc>
                <w:tcPr>
                  <w:tcW w:w="414" w:type="dxa"/>
                  <w:vAlign w:val="center"/>
                </w:tcPr>
                <w:p w14:paraId="3F83487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07505E5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4140A3C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637DE50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2630D34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05383D8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3CDAFCB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27EC7B8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29E028B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234331A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25C8CB36">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5DA75D1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044D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5F83B6AB">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default" w:ascii="宋体" w:hAnsi="宋体" w:eastAsia="宋体" w:cs="宋体"/>
                      <w:b/>
                      <w:bCs/>
                      <w:kern w:val="0"/>
                      <w:szCs w:val="21"/>
                    </w:rPr>
                    <w:t>气体灭火（10分）</w:t>
                  </w:r>
                </w:p>
              </w:tc>
              <w:tc>
                <w:tcPr>
                  <w:tcW w:w="414" w:type="dxa"/>
                  <w:vAlign w:val="center"/>
                </w:tcPr>
                <w:p w14:paraId="1EEDB78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62B2B60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7229BF5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48AB36B6">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364B0E8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2A314F4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7CFEA0A6">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2883DE0F">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2F01FC4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37C8C78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3C46C55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18B227E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7A66F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4ED1E0F4">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通风防排烟系统（5分）</w:t>
                  </w:r>
                </w:p>
              </w:tc>
              <w:tc>
                <w:tcPr>
                  <w:tcW w:w="414" w:type="dxa"/>
                  <w:vAlign w:val="center"/>
                </w:tcPr>
                <w:p w14:paraId="21446CD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7878029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6108B79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45B51FC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58B5DF5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606970F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16C2502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5BEB900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00C57BB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49C64A0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1474C29F">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5D37E85F">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11BB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58683124">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防火卷帘系统（5分）</w:t>
                  </w:r>
                </w:p>
              </w:tc>
              <w:tc>
                <w:tcPr>
                  <w:tcW w:w="414" w:type="dxa"/>
                  <w:vAlign w:val="center"/>
                </w:tcPr>
                <w:p w14:paraId="0BA8BE9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618A8BB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6EF8A9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26E7E70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52637A71">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53BCE45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3C2945C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266F09D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36038D5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5F6123D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6C2BD3D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11F74B8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35D5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1B68865F">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防火门系统（5分）</w:t>
                  </w:r>
                </w:p>
              </w:tc>
              <w:tc>
                <w:tcPr>
                  <w:tcW w:w="414" w:type="dxa"/>
                  <w:vAlign w:val="center"/>
                </w:tcPr>
                <w:p w14:paraId="462F3DE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6329FB7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C04850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5FE587A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337B482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1FE501C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2A6804A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2B7D961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889D11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72125B4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2F64BE0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2CFE22D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2BCD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03644DB6">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灭火器（5分）</w:t>
                  </w:r>
                </w:p>
              </w:tc>
              <w:tc>
                <w:tcPr>
                  <w:tcW w:w="414" w:type="dxa"/>
                  <w:vAlign w:val="center"/>
                </w:tcPr>
                <w:p w14:paraId="736B8B36">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2E4148D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6EA32EC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38698C0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2B943B7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262D58D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7CB9FFF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6649F31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7ABFD8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44360D5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631DED11">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22E9C53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3EAC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37F0ADED">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照明灯、指示标志（5分）</w:t>
                  </w:r>
                </w:p>
              </w:tc>
              <w:tc>
                <w:tcPr>
                  <w:tcW w:w="414" w:type="dxa"/>
                  <w:vAlign w:val="center"/>
                </w:tcPr>
                <w:p w14:paraId="16F5777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781C98C6">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32F4075F">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0CAA8AE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472B228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714F90E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315FB6A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247CE5A1">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234FF7F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23C26EB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17667C9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1B76F75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5ADF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6D2077B3">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default" w:ascii="宋体" w:hAnsi="宋体" w:eastAsia="宋体" w:cs="宋体"/>
                      <w:b/>
                      <w:bCs/>
                      <w:kern w:val="0"/>
                      <w:szCs w:val="21"/>
                    </w:rPr>
                    <w:t>设施设备保洁（5分）</w:t>
                  </w:r>
                </w:p>
              </w:tc>
              <w:tc>
                <w:tcPr>
                  <w:tcW w:w="414" w:type="dxa"/>
                  <w:vAlign w:val="center"/>
                </w:tcPr>
                <w:p w14:paraId="3136135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25087781">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5128CA0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7290F99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7FDEF0C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2A7FC25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2188E18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7F16B3E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6750228F">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1E94BF9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18098161">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42BF70D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34E20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429E2B92">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维保报告（</w:t>
                  </w:r>
                  <w:r>
                    <w:rPr>
                      <w:rFonts w:hint="default" w:ascii="宋体" w:hAnsi="宋体" w:eastAsia="宋体" w:cs="宋体"/>
                      <w:b/>
                      <w:bCs/>
                      <w:kern w:val="0"/>
                      <w:szCs w:val="21"/>
                    </w:rPr>
                    <w:t>2</w:t>
                  </w:r>
                  <w:r>
                    <w:rPr>
                      <w:rFonts w:hint="eastAsia" w:ascii="宋体" w:hAnsi="宋体" w:eastAsia="宋体" w:cs="宋体"/>
                      <w:b/>
                      <w:bCs/>
                      <w:kern w:val="0"/>
                      <w:szCs w:val="21"/>
                    </w:rPr>
                    <w:t>分）</w:t>
                  </w:r>
                </w:p>
              </w:tc>
              <w:tc>
                <w:tcPr>
                  <w:tcW w:w="414" w:type="dxa"/>
                  <w:vAlign w:val="center"/>
                </w:tcPr>
                <w:p w14:paraId="7ECC94F5">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6621A2A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4D6341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19805ED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46AB835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10A531E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6BDF8F1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0850F77F">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35A3C56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47CBAE4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4107539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1784BEF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7D34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32266FB7">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default" w:ascii="宋体" w:hAnsi="宋体" w:eastAsia="宋体" w:cs="宋体"/>
                      <w:b/>
                      <w:bCs/>
                      <w:kern w:val="0"/>
                      <w:szCs w:val="21"/>
                    </w:rPr>
                    <w:t>应急响应（分）</w:t>
                  </w:r>
                </w:p>
              </w:tc>
              <w:tc>
                <w:tcPr>
                  <w:tcW w:w="414" w:type="dxa"/>
                  <w:vAlign w:val="center"/>
                </w:tcPr>
                <w:p w14:paraId="42C083F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226221A8">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41931CA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5228C08D">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7F01B14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43A4B834">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6871AA1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8814BC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158118C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00292F3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19A65CA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697B14A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6B46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6BF05E70">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考评成绩合计╳80%</w:t>
                  </w:r>
                </w:p>
              </w:tc>
              <w:tc>
                <w:tcPr>
                  <w:tcW w:w="414" w:type="dxa"/>
                  <w:vAlign w:val="center"/>
                </w:tcPr>
                <w:p w14:paraId="71975AB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6C476020">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308F618F">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2E7B146B">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3D295831">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04" w:type="dxa"/>
                  <w:vAlign w:val="center"/>
                </w:tcPr>
                <w:p w14:paraId="039469D3">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36" w:type="dxa"/>
                  <w:vAlign w:val="center"/>
                </w:tcPr>
                <w:p w14:paraId="78DE57D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3968BDDC">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5" w:type="dxa"/>
                  <w:vAlign w:val="center"/>
                </w:tcPr>
                <w:p w14:paraId="6E97DBC2">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25" w:type="dxa"/>
                  <w:vAlign w:val="center"/>
                </w:tcPr>
                <w:p w14:paraId="6AE01D1A">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418" w:type="dxa"/>
                  <w:vAlign w:val="center"/>
                </w:tcPr>
                <w:p w14:paraId="2D0900D7">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c>
                <w:tcPr>
                  <w:tcW w:w="670" w:type="dxa"/>
                  <w:vAlign w:val="center"/>
                </w:tcPr>
                <w:p w14:paraId="4AFB13A6">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r w14:paraId="1F13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6DD07E8A">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履约能力综合考评20分</w:t>
                  </w:r>
                </w:p>
              </w:tc>
              <w:tc>
                <w:tcPr>
                  <w:tcW w:w="5266" w:type="dxa"/>
                  <w:gridSpan w:val="12"/>
                  <w:vAlign w:val="center"/>
                </w:tcPr>
                <w:p w14:paraId="5A5E08AE">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r>
                    <w:rPr>
                      <w:rFonts w:hint="eastAsia" w:ascii="宋体" w:hAnsi="宋体" w:eastAsia="宋体" w:cs="宋体"/>
                      <w:kern w:val="0"/>
                      <w:szCs w:val="21"/>
                    </w:rPr>
                    <w:t>从公司对项目重视度、服务质量、团队精神面貌、应急响应情况等进行综合考评，分优（18-20分）、良（15-18分）、中（10-14分）、差（0-10分）四等级。</w:t>
                  </w:r>
                </w:p>
              </w:tc>
            </w:tr>
            <w:tr w14:paraId="6F75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70" w:type="dxa"/>
                  <w:vAlign w:val="center"/>
                </w:tcPr>
                <w:p w14:paraId="1FD08341">
                  <w:pPr>
                    <w:keepNext w:val="0"/>
                    <w:keepLines w:val="0"/>
                    <w:widowControl/>
                    <w:suppressLineNumbers w:val="0"/>
                    <w:snapToGrid w:val="0"/>
                    <w:spacing w:before="0" w:beforeAutospacing="0" w:after="0" w:afterAutospacing="0"/>
                    <w:ind w:left="0" w:right="0"/>
                    <w:rPr>
                      <w:rFonts w:hint="default" w:ascii="宋体" w:hAnsi="宋体" w:eastAsia="宋体" w:cs="宋体"/>
                      <w:b/>
                      <w:bCs/>
                      <w:kern w:val="0"/>
                      <w:szCs w:val="21"/>
                    </w:rPr>
                  </w:pPr>
                  <w:r>
                    <w:rPr>
                      <w:rFonts w:hint="eastAsia" w:ascii="宋体" w:hAnsi="宋体" w:eastAsia="宋体" w:cs="宋体"/>
                      <w:b/>
                      <w:bCs/>
                      <w:kern w:val="0"/>
                      <w:szCs w:val="21"/>
                    </w:rPr>
                    <w:t>年度考评结果</w:t>
                  </w:r>
                </w:p>
              </w:tc>
              <w:tc>
                <w:tcPr>
                  <w:tcW w:w="5266" w:type="dxa"/>
                  <w:gridSpan w:val="12"/>
                  <w:vAlign w:val="center"/>
                </w:tcPr>
                <w:p w14:paraId="667336D9">
                  <w:pPr>
                    <w:keepNext w:val="0"/>
                    <w:keepLines w:val="0"/>
                    <w:widowControl/>
                    <w:suppressLineNumbers w:val="0"/>
                    <w:snapToGrid w:val="0"/>
                    <w:spacing w:before="0" w:beforeAutospacing="0" w:after="0" w:afterAutospacing="0"/>
                    <w:ind w:left="0" w:right="0"/>
                    <w:rPr>
                      <w:rFonts w:hint="default" w:ascii="宋体" w:hAnsi="宋体" w:eastAsia="宋体" w:cs="宋体"/>
                      <w:kern w:val="0"/>
                      <w:szCs w:val="21"/>
                    </w:rPr>
                  </w:pPr>
                </w:p>
              </w:tc>
            </w:tr>
          </w:tbl>
          <w:p w14:paraId="256275FE">
            <w:pPr>
              <w:pStyle w:val="45"/>
              <w:keepNext w:val="0"/>
              <w:keepLines w:val="0"/>
              <w:widowControl/>
              <w:suppressLineNumbers w:val="0"/>
              <w:spacing w:before="0" w:beforeAutospacing="0" w:after="0" w:afterAutospacing="0" w:line="360" w:lineRule="auto"/>
              <w:ind w:left="0" w:right="-1048" w:rightChars="-499"/>
              <w:rPr>
                <w:rFonts w:hint="default" w:ascii="宋体" w:hAnsi="宋体" w:cs="宋体"/>
                <w:b/>
                <w:szCs w:val="21"/>
              </w:rPr>
            </w:pPr>
            <w:r>
              <w:rPr>
                <w:rFonts w:hint="eastAsia" w:ascii="宋体" w:hAnsi="宋体" w:cs="宋体"/>
                <w:b/>
                <w:szCs w:val="21"/>
              </w:rPr>
              <w:t>注：1、年度考评成绩以全年各月份考评成绩平均数，优秀：≧90分，良好：85-89分，差：低于85分。</w:t>
            </w:r>
          </w:p>
          <w:p w14:paraId="402976C3">
            <w:pPr>
              <w:pStyle w:val="45"/>
              <w:keepNext w:val="0"/>
              <w:keepLines w:val="0"/>
              <w:widowControl/>
              <w:suppressLineNumbers w:val="0"/>
              <w:spacing w:before="0" w:beforeAutospacing="0" w:after="0" w:afterAutospacing="0" w:line="360" w:lineRule="auto"/>
              <w:ind w:left="0" w:right="-1048" w:rightChars="-499"/>
              <w:rPr>
                <w:rFonts w:hint="default" w:ascii="宋体" w:hAnsi="宋体" w:cs="宋体"/>
                <w:b/>
                <w:szCs w:val="21"/>
              </w:rPr>
            </w:pPr>
            <w:r>
              <w:rPr>
                <w:rFonts w:hint="eastAsia" w:ascii="宋体" w:hAnsi="宋体" w:cs="宋体"/>
                <w:b/>
                <w:szCs w:val="21"/>
              </w:rPr>
              <w:t xml:space="preserve">2、低于85分，考评结果为差的甲方有权提出终止合同。 </w:t>
            </w:r>
          </w:p>
          <w:p w14:paraId="00511D2C">
            <w:pPr>
              <w:keepNext w:val="0"/>
              <w:keepLines w:val="0"/>
              <w:widowControl w:val="0"/>
              <w:suppressLineNumbers w:val="0"/>
              <w:tabs>
                <w:tab w:val="left" w:pos="540"/>
              </w:tabs>
              <w:spacing w:before="0" w:beforeAutospacing="0" w:after="0" w:afterAutospacing="0" w:line="360" w:lineRule="auto"/>
              <w:ind w:left="-525" w:leftChars="-250" w:right="0"/>
              <w:jc w:val="left"/>
              <w:rPr>
                <w:rFonts w:hint="eastAsia" w:ascii="宋体" w:hAnsi="宋体" w:eastAsia="宋体" w:cs="宋体"/>
                <w:bCs/>
                <w:kern w:val="0"/>
                <w:szCs w:val="21"/>
                <w:lang w:val="en-US"/>
              </w:rPr>
            </w:pPr>
            <w:r>
              <w:rPr>
                <w:rFonts w:hint="eastAsia" w:ascii="宋体" w:hAnsi="宋体" w:eastAsia="宋体" w:cs="宋体"/>
                <w:bCs/>
                <w:kern w:val="0"/>
                <w:sz w:val="21"/>
                <w:szCs w:val="21"/>
                <w:lang w:val="en-US" w:eastAsia="zh-CN" w:bidi="ar"/>
              </w:rPr>
              <w:t>维保</w:t>
            </w:r>
            <w:r>
              <w:rPr>
                <w:rFonts w:hint="default" w:ascii="宋体" w:hAnsi="宋体" w:eastAsia="宋体" w:cs="宋体"/>
                <w:bCs/>
                <w:kern w:val="0"/>
                <w:sz w:val="21"/>
                <w:szCs w:val="21"/>
                <w:lang w:eastAsia="zh-CN" w:bidi="ar"/>
              </w:rPr>
              <w:t xml:space="preserve"> 维保</w:t>
            </w:r>
            <w:r>
              <w:rPr>
                <w:rFonts w:hint="eastAsia" w:ascii="宋体" w:hAnsi="宋体" w:eastAsia="宋体" w:cs="宋体"/>
                <w:bCs/>
                <w:kern w:val="0"/>
                <w:sz w:val="21"/>
                <w:szCs w:val="21"/>
                <w:lang w:val="en-US" w:eastAsia="zh-CN" w:bidi="ar"/>
              </w:rPr>
              <w:t>项目负责人签名确认：                      主管考评部门签名确认：</w:t>
            </w:r>
          </w:p>
          <w:p w14:paraId="7618AD03">
            <w:pPr>
              <w:keepNext w:val="0"/>
              <w:keepLines w:val="0"/>
              <w:widowControl w:val="0"/>
              <w:suppressLineNumbers w:val="0"/>
              <w:tabs>
                <w:tab w:val="left" w:pos="540"/>
              </w:tabs>
              <w:spacing w:before="0" w:beforeAutospacing="0" w:after="0" w:afterAutospacing="0" w:line="360" w:lineRule="auto"/>
              <w:ind w:left="-525" w:leftChars="-250" w:right="0"/>
              <w:jc w:val="left"/>
              <w:rPr>
                <w:rFonts w:hint="eastAsia" w:ascii="宋体" w:hAnsi="宋体" w:eastAsia="宋体" w:cs="宋体"/>
                <w:szCs w:val="21"/>
                <w:lang w:val="en-US"/>
              </w:rPr>
            </w:pPr>
            <w:r>
              <w:rPr>
                <w:rFonts w:hint="eastAsia" w:ascii="宋体" w:hAnsi="宋体" w:eastAsia="宋体" w:cs="宋体"/>
                <w:bCs/>
                <w:kern w:val="0"/>
                <w:sz w:val="21"/>
                <w:szCs w:val="21"/>
                <w:lang w:val="en-US" w:eastAsia="zh-CN" w:bidi="ar"/>
              </w:rPr>
              <w:t xml:space="preserve">日期 </w:t>
            </w:r>
            <w:r>
              <w:rPr>
                <w:rFonts w:hint="default" w:ascii="宋体" w:hAnsi="宋体" w:eastAsia="宋体" w:cs="宋体"/>
                <w:bCs/>
                <w:kern w:val="0"/>
                <w:sz w:val="21"/>
                <w:szCs w:val="21"/>
                <w:lang w:eastAsia="zh-CN" w:bidi="ar"/>
              </w:rPr>
              <w:t>日期：</w:t>
            </w:r>
            <w:r>
              <w:rPr>
                <w:rFonts w:hint="eastAsia" w:ascii="宋体" w:hAnsi="宋体" w:eastAsia="宋体" w:cs="宋体"/>
                <w:bCs/>
                <w:kern w:val="0"/>
                <w:sz w:val="21"/>
                <w:szCs w:val="21"/>
                <w:lang w:val="en-US" w:eastAsia="zh-CN" w:bidi="ar"/>
              </w:rPr>
              <w:t xml:space="preserve">    年   月   日                      </w:t>
            </w:r>
            <w:r>
              <w:rPr>
                <w:rFonts w:hint="default" w:ascii="宋体" w:hAnsi="宋体" w:eastAsia="宋体" w:cs="宋体"/>
                <w:bCs/>
                <w:kern w:val="0"/>
                <w:sz w:val="21"/>
                <w:szCs w:val="21"/>
                <w:lang w:eastAsia="zh-CN" w:bidi="ar"/>
              </w:rPr>
              <w:t xml:space="preserve"> </w:t>
            </w:r>
            <w:r>
              <w:rPr>
                <w:rFonts w:hint="eastAsia" w:ascii="宋体" w:hAnsi="宋体" w:eastAsia="宋体" w:cs="宋体"/>
                <w:bCs/>
                <w:kern w:val="0"/>
                <w:sz w:val="21"/>
                <w:szCs w:val="21"/>
                <w:lang w:val="en-US" w:eastAsia="zh-CN" w:bidi="ar"/>
              </w:rPr>
              <w:t xml:space="preserve"> 日期     年   月   日</w:t>
            </w:r>
          </w:p>
          <w:p w14:paraId="6B2D5F7D">
            <w:pPr>
              <w:keepNext w:val="0"/>
              <w:keepLines w:val="0"/>
              <w:suppressLineNumbers w:val="0"/>
              <w:spacing w:before="0" w:beforeAutospacing="0" w:after="0" w:afterAutospacing="0"/>
              <w:ind w:left="0" w:right="0"/>
              <w:rPr>
                <w:rFonts w:hint="default" w:asciiTheme="minorEastAsia" w:hAnsiTheme="minorEastAsia"/>
                <w:bCs/>
                <w:szCs w:val="21"/>
              </w:rPr>
            </w:pPr>
          </w:p>
        </w:tc>
      </w:tr>
    </w:tbl>
    <w:p w14:paraId="5A2A06CC">
      <w:pPr>
        <w:jc w:val="center"/>
        <w:rPr>
          <w:rFonts w:asciiTheme="minorEastAsia" w:hAnsiTheme="minorEastAsia"/>
          <w:szCs w:val="21"/>
        </w:rPr>
      </w:pPr>
    </w:p>
    <w:p w14:paraId="2856C770">
      <w:pPr>
        <w:rPr>
          <w:rFonts w:hint="eastAsia" w:asciiTheme="minorEastAsia" w:hAnsiTheme="minorEastAsia" w:eastAsiaTheme="minorEastAsia"/>
          <w:sz w:val="21"/>
          <w:szCs w:val="21"/>
        </w:rPr>
      </w:pPr>
    </w:p>
    <w:p w14:paraId="6FA7D592">
      <w:pPr>
        <w:rPr>
          <w:rFonts w:hint="eastAsia" w:asciiTheme="minorEastAsia" w:hAnsiTheme="minorEastAsia" w:eastAsiaTheme="minorEastAsia"/>
          <w:sz w:val="21"/>
          <w:szCs w:val="21"/>
        </w:rPr>
      </w:pPr>
    </w:p>
    <w:p w14:paraId="3ABF94C2">
      <w:pPr>
        <w:rPr>
          <w:rFonts w:asciiTheme="minorEastAsia" w:hAnsiTheme="minorEastAsia"/>
          <w:sz w:val="21"/>
          <w:szCs w:val="21"/>
        </w:rPr>
      </w:pPr>
      <w:r>
        <w:rPr>
          <w:rFonts w:hint="eastAsia" w:asciiTheme="minorEastAsia" w:hAnsiTheme="minorEastAsia" w:eastAsiaTheme="minorEastAsia"/>
          <w:sz w:val="21"/>
          <w:szCs w:val="21"/>
        </w:rPr>
        <w:t>采购包2（</w:t>
      </w:r>
      <w:r>
        <w:rPr>
          <w:rFonts w:hint="default" w:asciiTheme="minorEastAsia" w:hAnsiTheme="minorEastAsia" w:eastAsiaTheme="minorEastAsia"/>
          <w:sz w:val="21"/>
          <w:szCs w:val="21"/>
        </w:rPr>
        <w:t>广州医科大学附属</w:t>
      </w:r>
      <w:r>
        <w:rPr>
          <w:rFonts w:hint="eastAsia" w:asciiTheme="minorEastAsia" w:hAnsiTheme="minorEastAsia" w:eastAsiaTheme="minorEastAsia"/>
          <w:sz w:val="21"/>
          <w:szCs w:val="21"/>
        </w:rPr>
        <w:t>番禺中心医院医疗集团年度消防检测及安全评估服务项目</w:t>
      </w:r>
      <w:r>
        <w:rPr>
          <w:rFonts w:hint="eastAsia" w:asciiTheme="minorEastAsia" w:hAnsiTheme="minorEastAsia"/>
          <w:sz w:val="21"/>
          <w:szCs w:val="21"/>
        </w:rPr>
        <w:t>）</w:t>
      </w:r>
    </w:p>
    <w:p w14:paraId="09282631">
      <w:pPr>
        <w:pStyle w:val="4"/>
        <w:rPr>
          <w:rFonts w:asciiTheme="minorEastAsia" w:hAnsiTheme="minorEastAsia"/>
          <w:sz w:val="21"/>
          <w:szCs w:val="21"/>
        </w:rPr>
      </w:pPr>
      <w:r>
        <w:rPr>
          <w:rFonts w:hint="eastAsia" w:asciiTheme="minorEastAsia" w:hAnsiTheme="minorEastAsia"/>
          <w:sz w:val="21"/>
          <w:szCs w:val="21"/>
        </w:rPr>
        <w:t>（一）商务要求</w:t>
      </w:r>
    </w:p>
    <w:p w14:paraId="69974464">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1、标的提供时间及地点</w:t>
      </w:r>
    </w:p>
    <w:p w14:paraId="4BFAF39C">
      <w:pPr>
        <w:rPr>
          <w:rFonts w:asciiTheme="minorEastAsia" w:hAnsiTheme="minorEastAsia"/>
          <w:bCs/>
          <w:szCs w:val="21"/>
          <w:u w:val="single"/>
        </w:rPr>
      </w:pPr>
      <w:r>
        <w:rPr>
          <w:rFonts w:hint="eastAsia" w:asciiTheme="minorEastAsia" w:hAnsiTheme="minorEastAsia"/>
          <w:b/>
          <w:szCs w:val="21"/>
        </w:rPr>
        <w:t>标的提供时间：</w:t>
      </w:r>
      <w:r>
        <w:rPr>
          <w:rFonts w:hint="eastAsia" w:asciiTheme="minorEastAsia" w:hAnsiTheme="minorEastAsia"/>
          <w:bCs/>
          <w:szCs w:val="21"/>
          <w:u w:val="single"/>
        </w:rPr>
        <w:t>2年</w:t>
      </w:r>
    </w:p>
    <w:p w14:paraId="633B41E0">
      <w:pPr>
        <w:rPr>
          <w:rFonts w:asciiTheme="minorEastAsia" w:hAnsiTheme="minorEastAsia"/>
          <w:bCs/>
          <w:szCs w:val="21"/>
          <w:u w:val="single"/>
        </w:rPr>
      </w:pPr>
      <w:r>
        <w:rPr>
          <w:rFonts w:hint="eastAsia" w:asciiTheme="minorEastAsia" w:hAnsiTheme="minorEastAsia"/>
          <w:b/>
          <w:szCs w:val="21"/>
        </w:rPr>
        <w:t>标的提供地点：</w:t>
      </w:r>
      <w:r>
        <w:rPr>
          <w:rFonts w:hint="eastAsia" w:asciiTheme="minorEastAsia" w:hAnsiTheme="minorEastAsia"/>
          <w:bCs/>
          <w:szCs w:val="21"/>
          <w:u w:val="single"/>
        </w:rPr>
        <w:t>采购人指定地点</w:t>
      </w:r>
    </w:p>
    <w:p w14:paraId="5D1064CD">
      <w:pPr>
        <w:rPr>
          <w:rFonts w:asciiTheme="minorEastAsia" w:hAnsiTheme="minorEastAsia"/>
          <w:szCs w:val="21"/>
        </w:rPr>
      </w:pPr>
    </w:p>
    <w:p w14:paraId="18DBBC03">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2、支付期次</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7"/>
        <w:gridCol w:w="1290"/>
        <w:gridCol w:w="6885"/>
      </w:tblGrid>
      <w:tr w14:paraId="083D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pct"/>
            <w:vAlign w:val="center"/>
          </w:tcPr>
          <w:p w14:paraId="106D0E89">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支付期次</w:t>
            </w:r>
          </w:p>
        </w:tc>
        <w:tc>
          <w:tcPr>
            <w:tcW w:w="698" w:type="pct"/>
            <w:vAlign w:val="center"/>
          </w:tcPr>
          <w:p w14:paraId="381B3322">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支付比例％</w:t>
            </w:r>
          </w:p>
        </w:tc>
        <w:tc>
          <w:tcPr>
            <w:tcW w:w="3724" w:type="pct"/>
            <w:vAlign w:val="center"/>
          </w:tcPr>
          <w:p w14:paraId="10CC5679">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支付说明</w:t>
            </w:r>
          </w:p>
        </w:tc>
      </w:tr>
      <w:tr w14:paraId="30AB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pct"/>
            <w:vAlign w:val="center"/>
          </w:tcPr>
          <w:p w14:paraId="1913A68D">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1</w:t>
            </w:r>
          </w:p>
        </w:tc>
        <w:tc>
          <w:tcPr>
            <w:tcW w:w="698" w:type="pct"/>
            <w:vAlign w:val="center"/>
          </w:tcPr>
          <w:p w14:paraId="42B12A2A">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100</w:t>
            </w:r>
          </w:p>
        </w:tc>
        <w:tc>
          <w:tcPr>
            <w:tcW w:w="3724" w:type="pct"/>
            <w:vAlign w:val="center"/>
          </w:tcPr>
          <w:p w14:paraId="512B27FC">
            <w:pPr>
              <w:keepNext w:val="0"/>
              <w:keepLines w:val="0"/>
              <w:suppressLineNumbers w:val="0"/>
              <w:spacing w:before="0" w:beforeAutospacing="0" w:after="0" w:afterAutospacing="0"/>
              <w:ind w:left="0" w:right="0"/>
              <w:rPr>
                <w:rFonts w:hint="default" w:ascii="宋体" w:hAnsi="宋体"/>
                <w:szCs w:val="21"/>
              </w:rPr>
            </w:pPr>
            <w:r>
              <w:rPr>
                <w:rFonts w:hint="default" w:ascii="宋体" w:hAnsi="宋体"/>
                <w:szCs w:val="21"/>
              </w:rPr>
              <w:t>（</w:t>
            </w:r>
            <w:r>
              <w:rPr>
                <w:rFonts w:hint="eastAsia" w:ascii="宋体" w:hAnsi="宋体"/>
                <w:szCs w:val="21"/>
              </w:rPr>
              <w:t>一</w:t>
            </w:r>
            <w:r>
              <w:rPr>
                <w:rFonts w:hint="default" w:ascii="宋体" w:hAnsi="宋体"/>
                <w:szCs w:val="21"/>
              </w:rPr>
              <w:t>）</w:t>
            </w:r>
            <w:r>
              <w:rPr>
                <w:rFonts w:hint="eastAsia" w:ascii="宋体" w:hAnsi="宋体"/>
                <w:szCs w:val="21"/>
              </w:rPr>
              <w:t>成交供应商</w:t>
            </w:r>
            <w:r>
              <w:rPr>
                <w:rFonts w:hint="default" w:ascii="宋体" w:hAnsi="宋体"/>
                <w:szCs w:val="21"/>
              </w:rPr>
              <w:t>开展完第一年度消防检测及安全评估服务项目，并提交等额发票、请款函与合格检测、评估报告后，支付项目服务费用50%；完成第二年度消防检测及安全评估服务项目，并提交等额发票、请款函与合格检测、评估报告后，支付剩余服务费用。</w:t>
            </w:r>
          </w:p>
          <w:p w14:paraId="0C2889E3">
            <w:pPr>
              <w:keepNext w:val="0"/>
              <w:keepLines w:val="0"/>
              <w:suppressLineNumbers w:val="0"/>
              <w:spacing w:before="0" w:beforeAutospacing="0" w:after="0" w:afterAutospacing="0"/>
              <w:ind w:left="0" w:right="0"/>
              <w:rPr>
                <w:rFonts w:hint="default" w:ascii="宋体" w:hAnsi="宋体"/>
                <w:szCs w:val="21"/>
              </w:rPr>
            </w:pPr>
            <w:r>
              <w:rPr>
                <w:rFonts w:hint="default" w:ascii="宋体" w:hAnsi="宋体"/>
                <w:szCs w:val="21"/>
              </w:rPr>
              <w:t>（</w:t>
            </w:r>
            <w:r>
              <w:rPr>
                <w:rFonts w:hint="eastAsia" w:ascii="宋体" w:hAnsi="宋体"/>
                <w:szCs w:val="21"/>
              </w:rPr>
              <w:t>二</w:t>
            </w:r>
            <w:r>
              <w:rPr>
                <w:rFonts w:hint="default" w:ascii="宋体" w:hAnsi="宋体"/>
                <w:szCs w:val="21"/>
              </w:rPr>
              <w:t>）涉及番禺区第七人民医院的所有费用由</w:t>
            </w:r>
            <w:r>
              <w:rPr>
                <w:rFonts w:hint="eastAsia" w:ascii="宋体" w:hAnsi="宋体"/>
                <w:szCs w:val="21"/>
              </w:rPr>
              <w:t>成交供应商</w:t>
            </w:r>
            <w:r>
              <w:rPr>
                <w:rFonts w:hint="default" w:ascii="宋体" w:hAnsi="宋体"/>
                <w:szCs w:val="21"/>
              </w:rPr>
              <w:t>与番禺区第七人民医院对接，进行独立结算。</w:t>
            </w:r>
          </w:p>
        </w:tc>
      </w:tr>
    </w:tbl>
    <w:p w14:paraId="4D942561">
      <w:pPr>
        <w:rPr>
          <w:rFonts w:asciiTheme="minorEastAsia" w:hAnsiTheme="minorEastAsia"/>
          <w:szCs w:val="21"/>
        </w:rPr>
      </w:pPr>
    </w:p>
    <w:p w14:paraId="53A6AB2F">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3、验收要求</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8142"/>
      </w:tblGrid>
      <w:tr w14:paraId="7F37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 w:type="pct"/>
            <w:vAlign w:val="center"/>
          </w:tcPr>
          <w:p w14:paraId="63E65536">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验收期次</w:t>
            </w:r>
          </w:p>
        </w:tc>
        <w:tc>
          <w:tcPr>
            <w:tcW w:w="4404" w:type="pct"/>
            <w:vAlign w:val="center"/>
          </w:tcPr>
          <w:p w14:paraId="0A2423CC">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验收要求</w:t>
            </w:r>
          </w:p>
        </w:tc>
      </w:tr>
      <w:tr w14:paraId="58BE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 w:type="pct"/>
            <w:vAlign w:val="center"/>
          </w:tcPr>
          <w:p w14:paraId="7121B0DB">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1</w:t>
            </w:r>
          </w:p>
        </w:tc>
        <w:tc>
          <w:tcPr>
            <w:tcW w:w="4404" w:type="pct"/>
            <w:vAlign w:val="center"/>
          </w:tcPr>
          <w:p w14:paraId="63B763CA">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成交供应商</w:t>
            </w:r>
            <w:r>
              <w:rPr>
                <w:rFonts w:hint="default" w:asciiTheme="minorEastAsia" w:hAnsiTheme="minorEastAsia"/>
                <w:szCs w:val="21"/>
              </w:rPr>
              <w:t>根据</w:t>
            </w:r>
            <w:r>
              <w:rPr>
                <w:rFonts w:hint="eastAsia" w:asciiTheme="minorEastAsia" w:hAnsiTheme="minorEastAsia"/>
                <w:szCs w:val="21"/>
              </w:rPr>
              <w:t>竞争性磋商文件</w:t>
            </w:r>
            <w:r>
              <w:rPr>
                <w:rFonts w:hint="default" w:asciiTheme="minorEastAsia" w:hAnsiTheme="minorEastAsia"/>
                <w:szCs w:val="21"/>
              </w:rPr>
              <w:t>有关服务质量条款完成服务要求，并提交全面的、符合要求的消防检测、评估报告，即为验收合格。</w:t>
            </w:r>
          </w:p>
        </w:tc>
      </w:tr>
    </w:tbl>
    <w:p w14:paraId="71EF1439">
      <w:pPr>
        <w:rPr>
          <w:rFonts w:asciiTheme="minorEastAsia" w:hAnsiTheme="minorEastAsia"/>
          <w:szCs w:val="21"/>
        </w:rPr>
      </w:pPr>
    </w:p>
    <w:p w14:paraId="14DFE6BA">
      <w:pPr>
        <w:pStyle w:val="5"/>
        <w:spacing w:before="0" w:after="0"/>
        <w:rPr>
          <w:rFonts w:asciiTheme="minorEastAsia" w:hAnsiTheme="minorEastAsia" w:eastAsiaTheme="minorEastAsia"/>
          <w:sz w:val="21"/>
          <w:szCs w:val="21"/>
        </w:rPr>
      </w:pPr>
      <w:r>
        <w:rPr>
          <w:rFonts w:hint="eastAsia" w:asciiTheme="minorEastAsia" w:hAnsiTheme="minorEastAsia" w:eastAsiaTheme="minorEastAsia"/>
          <w:sz w:val="21"/>
          <w:szCs w:val="21"/>
        </w:rPr>
        <w:t>4、履约保证金</w:t>
      </w:r>
    </w:p>
    <w:p w14:paraId="7B8E818D">
      <w:pPr>
        <w:rPr>
          <w:rFonts w:asciiTheme="minorEastAsia" w:hAnsiTheme="minorEastAsia"/>
          <w:szCs w:val="21"/>
        </w:rPr>
      </w:pPr>
      <w:r>
        <w:rPr>
          <w:rFonts w:hint="eastAsia" w:asciiTheme="minorEastAsia" w:hAnsiTheme="minorEastAsia"/>
          <w:b/>
          <w:szCs w:val="21"/>
        </w:rPr>
        <w:t>收取履约保证金：</w:t>
      </w:r>
      <w:r>
        <w:rPr>
          <w:rFonts w:hint="eastAsia" w:asciiTheme="minorEastAsia" w:hAnsiTheme="minorEastAsia"/>
          <w:szCs w:val="21"/>
        </w:rPr>
        <w:t xml:space="preserve">否 </w:t>
      </w:r>
    </w:p>
    <w:p w14:paraId="3D720122">
      <w:pPr>
        <w:rPr>
          <w:rFonts w:asciiTheme="minorEastAsia" w:hAnsiTheme="minorEastAsia"/>
          <w:szCs w:val="21"/>
        </w:rPr>
      </w:pPr>
    </w:p>
    <w:p w14:paraId="4B28F14B">
      <w:pPr>
        <w:pStyle w:val="5"/>
        <w:spacing w:before="0" w:after="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rPr>
        <w:t>5、联合体</w:t>
      </w:r>
      <w:r>
        <w:rPr>
          <w:rFonts w:hint="eastAsia" w:asciiTheme="minorEastAsia" w:hAnsiTheme="minorEastAsia" w:eastAsiaTheme="minorEastAsia"/>
          <w:sz w:val="21"/>
          <w:szCs w:val="21"/>
          <w:lang w:eastAsia="zh-CN"/>
        </w:rPr>
        <w:t>报价</w:t>
      </w:r>
    </w:p>
    <w:p w14:paraId="1B4A3B7C">
      <w:pPr>
        <w:rPr>
          <w:rFonts w:asciiTheme="minorEastAsia" w:hAnsiTheme="minorEastAsia"/>
          <w:szCs w:val="21"/>
        </w:rPr>
      </w:pPr>
      <w:r>
        <w:rPr>
          <w:rFonts w:hint="eastAsia" w:asciiTheme="minorEastAsia" w:hAnsiTheme="minorEastAsia"/>
          <w:b/>
          <w:szCs w:val="21"/>
        </w:rPr>
        <w:t>接受联合体</w:t>
      </w:r>
      <w:r>
        <w:rPr>
          <w:rFonts w:hint="eastAsia" w:asciiTheme="minorEastAsia" w:hAnsiTheme="minorEastAsia"/>
          <w:b/>
          <w:szCs w:val="21"/>
          <w:lang w:eastAsia="zh-CN"/>
        </w:rPr>
        <w:t>报价</w:t>
      </w:r>
      <w:r>
        <w:rPr>
          <w:rFonts w:hint="eastAsia" w:asciiTheme="minorEastAsia" w:hAnsiTheme="minorEastAsia"/>
          <w:b/>
          <w:szCs w:val="21"/>
        </w:rPr>
        <w:t>：</w:t>
      </w:r>
      <w:r>
        <w:rPr>
          <w:rFonts w:hint="eastAsia" w:asciiTheme="minorEastAsia" w:hAnsiTheme="minorEastAsia"/>
          <w:szCs w:val="21"/>
        </w:rPr>
        <w:t>否</w:t>
      </w:r>
    </w:p>
    <w:p w14:paraId="3E481452">
      <w:pPr>
        <w:rPr>
          <w:rFonts w:asciiTheme="minorEastAsia" w:hAnsiTheme="minorEastAsia"/>
          <w:szCs w:val="21"/>
        </w:rPr>
      </w:pPr>
    </w:p>
    <w:p w14:paraId="79BB06FB">
      <w:pPr>
        <w:pStyle w:val="5"/>
        <w:spacing w:before="0" w:after="0"/>
        <w:rPr>
          <w:rFonts w:asciiTheme="minorEastAsia" w:hAnsiTheme="minorEastAsia" w:eastAsiaTheme="minorEastAsia"/>
          <w:sz w:val="21"/>
          <w:szCs w:val="21"/>
        </w:rPr>
      </w:pPr>
      <w:r>
        <w:rPr>
          <w:rFonts w:hint="eastAsia" w:asciiTheme="minorEastAsia" w:hAnsiTheme="minorEastAsia" w:eastAsiaTheme="minorEastAsia"/>
          <w:sz w:val="21"/>
          <w:szCs w:val="21"/>
        </w:rPr>
        <w:t>6、合同履约期限</w:t>
      </w:r>
    </w:p>
    <w:p w14:paraId="5F7DB097">
      <w:pPr>
        <w:rPr>
          <w:rFonts w:asciiTheme="minorEastAsia" w:hAnsiTheme="minorEastAsia"/>
          <w:szCs w:val="21"/>
        </w:rPr>
      </w:pPr>
      <w:r>
        <w:rPr>
          <w:rFonts w:hint="eastAsia" w:asciiTheme="minorEastAsia" w:hAnsiTheme="minorEastAsia"/>
          <w:b/>
          <w:szCs w:val="21"/>
        </w:rPr>
        <w:t>合同履行期限：</w:t>
      </w:r>
      <w:r>
        <w:rPr>
          <w:rFonts w:hint="eastAsia" w:asciiTheme="minorEastAsia" w:hAnsiTheme="minorEastAsia"/>
          <w:bCs/>
          <w:szCs w:val="21"/>
          <w:u w:val="single"/>
        </w:rPr>
        <w:t>2年</w:t>
      </w:r>
      <w:r>
        <w:rPr>
          <w:rFonts w:asciiTheme="minorEastAsia" w:hAnsiTheme="minorEastAsia"/>
          <w:szCs w:val="21"/>
        </w:rPr>
        <w:t xml:space="preserve"> </w:t>
      </w:r>
    </w:p>
    <w:p w14:paraId="1FE372DB">
      <w:pPr>
        <w:rPr>
          <w:rFonts w:asciiTheme="minorEastAsia" w:hAnsiTheme="minorEastAsia"/>
          <w:szCs w:val="21"/>
        </w:rPr>
      </w:pPr>
    </w:p>
    <w:p w14:paraId="11AA6CC6">
      <w:pPr>
        <w:pStyle w:val="5"/>
        <w:spacing w:before="0" w:after="0"/>
        <w:rPr>
          <w:rFonts w:asciiTheme="minorEastAsia" w:hAnsiTheme="minorEastAsia" w:eastAsiaTheme="minorEastAsia"/>
          <w:sz w:val="21"/>
          <w:szCs w:val="21"/>
        </w:rPr>
      </w:pPr>
      <w:r>
        <w:rPr>
          <w:rFonts w:hint="eastAsia" w:asciiTheme="minorEastAsia" w:hAnsiTheme="minorEastAsia" w:eastAsiaTheme="minorEastAsia"/>
          <w:sz w:val="21"/>
          <w:szCs w:val="21"/>
        </w:rPr>
        <w:t>7、采购资金支付方式</w:t>
      </w:r>
    </w:p>
    <w:p w14:paraId="649200A7">
      <w:pPr>
        <w:rPr>
          <w:rFonts w:asciiTheme="minorEastAsia" w:hAnsiTheme="minorEastAsia"/>
          <w:szCs w:val="21"/>
        </w:rPr>
      </w:pPr>
      <w:r>
        <w:rPr>
          <w:rFonts w:hint="eastAsia" w:asciiTheme="minorEastAsia" w:hAnsiTheme="minorEastAsia"/>
          <w:b/>
          <w:szCs w:val="21"/>
        </w:rPr>
        <w:t>采购资金支付方式：</w:t>
      </w:r>
      <w:r>
        <w:rPr>
          <w:rFonts w:hint="eastAsia" w:asciiTheme="minorEastAsia" w:hAnsiTheme="minorEastAsia"/>
          <w:szCs w:val="21"/>
        </w:rPr>
        <w:t>单位自行支付</w:t>
      </w:r>
    </w:p>
    <w:p w14:paraId="7926BF51">
      <w:pPr>
        <w:rPr>
          <w:rFonts w:asciiTheme="minorEastAsia" w:hAnsiTheme="minorEastAsia"/>
          <w:b/>
          <w:szCs w:val="21"/>
        </w:rPr>
      </w:pPr>
    </w:p>
    <w:p w14:paraId="08D1237D">
      <w:pPr>
        <w:pStyle w:val="5"/>
        <w:spacing w:before="0" w:after="0"/>
        <w:rPr>
          <w:rFonts w:asciiTheme="minorEastAsia" w:hAnsiTheme="minorEastAsia" w:eastAsiaTheme="minorEastAsia"/>
          <w:sz w:val="21"/>
          <w:szCs w:val="21"/>
        </w:rPr>
      </w:pPr>
      <w:r>
        <w:rPr>
          <w:rFonts w:hint="eastAsia" w:asciiTheme="minorEastAsia" w:hAnsiTheme="minorEastAsia" w:eastAsiaTheme="minorEastAsia"/>
          <w:sz w:val="21"/>
          <w:szCs w:val="21"/>
        </w:rPr>
        <w:t>8、供应商响应设置</w:t>
      </w:r>
    </w:p>
    <w:p w14:paraId="7D9D5016">
      <w:pPr>
        <w:rPr>
          <w:rFonts w:asciiTheme="minorEastAsia" w:hAnsiTheme="minorEastAsia"/>
          <w:szCs w:val="21"/>
        </w:rPr>
      </w:pPr>
      <w:r>
        <w:rPr>
          <w:rFonts w:hint="eastAsia" w:asciiTheme="minorEastAsia" w:hAnsiTheme="minorEastAsia"/>
          <w:b/>
          <w:szCs w:val="21"/>
        </w:rPr>
        <w:t xml:space="preserve">允许供应商分项报价进行细化： </w:t>
      </w:r>
      <w:r>
        <w:rPr>
          <w:rFonts w:hint="eastAsia" w:asciiTheme="minorEastAsia" w:hAnsiTheme="minorEastAsia"/>
          <w:szCs w:val="21"/>
        </w:rPr>
        <w:t>是</w:t>
      </w:r>
    </w:p>
    <w:p w14:paraId="373BC030">
      <w:pPr>
        <w:rPr>
          <w:rFonts w:asciiTheme="minorEastAsia" w:hAnsiTheme="minorEastAsia"/>
          <w:color w:val="FF0000"/>
          <w:szCs w:val="21"/>
        </w:rPr>
      </w:pPr>
    </w:p>
    <w:p w14:paraId="15EF1B3F">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9、其他信息</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4"/>
        <w:gridCol w:w="7578"/>
      </w:tblGrid>
      <w:tr w14:paraId="7F0B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0" w:type="pct"/>
            <w:vAlign w:val="center"/>
          </w:tcPr>
          <w:p w14:paraId="13C37494">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内容明细</w:t>
            </w:r>
          </w:p>
        </w:tc>
        <w:tc>
          <w:tcPr>
            <w:tcW w:w="4099" w:type="pct"/>
            <w:vAlign w:val="center"/>
          </w:tcPr>
          <w:p w14:paraId="5851800C">
            <w:pPr>
              <w:keepNext w:val="0"/>
              <w:keepLines w:val="0"/>
              <w:suppressLineNumbers w:val="0"/>
              <w:spacing w:before="0" w:beforeAutospacing="0" w:after="0" w:afterAutospacing="0"/>
              <w:ind w:left="0" w:right="0"/>
              <w:jc w:val="center"/>
              <w:rPr>
                <w:rFonts w:hint="default" w:asciiTheme="minorEastAsia" w:hAnsiTheme="minorEastAsia"/>
                <w:b/>
                <w:szCs w:val="21"/>
              </w:rPr>
            </w:pPr>
            <w:r>
              <w:rPr>
                <w:rFonts w:hint="eastAsia" w:asciiTheme="minorEastAsia" w:hAnsiTheme="minorEastAsia"/>
                <w:b/>
                <w:szCs w:val="21"/>
              </w:rPr>
              <w:t>内容说明</w:t>
            </w:r>
          </w:p>
        </w:tc>
      </w:tr>
      <w:tr w14:paraId="6643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Align w:val="center"/>
          </w:tcPr>
          <w:p w14:paraId="06626D7F">
            <w:pPr>
              <w:keepNext w:val="0"/>
              <w:keepLines w:val="0"/>
              <w:suppressLineNumbers w:val="0"/>
              <w:spacing w:before="0" w:beforeAutospacing="0" w:after="0" w:afterAutospacing="0"/>
              <w:ind w:left="0" w:right="0"/>
              <w:jc w:val="center"/>
              <w:rPr>
                <w:rFonts w:hint="default" w:ascii="宋体" w:eastAsia="宋体"/>
              </w:rPr>
            </w:pPr>
          </w:p>
        </w:tc>
        <w:tc>
          <w:tcPr>
            <w:tcW w:w="4099" w:type="pct"/>
            <w:vAlign w:val="center"/>
          </w:tcPr>
          <w:p w14:paraId="5F27E1B3">
            <w:pPr>
              <w:keepNext w:val="0"/>
              <w:keepLines w:val="0"/>
              <w:suppressLineNumbers w:val="0"/>
              <w:spacing w:before="0" w:beforeAutospacing="0" w:after="0" w:afterAutospacing="0"/>
              <w:ind w:left="0" w:right="0"/>
              <w:rPr>
                <w:rFonts w:hint="default" w:ascii="宋体" w:hAnsi="宋体"/>
              </w:rPr>
            </w:pPr>
            <w:r>
              <w:rPr>
                <w:rFonts w:hint="eastAsia" w:ascii="宋体" w:hAnsi="宋体"/>
              </w:rPr>
              <w:t>/</w:t>
            </w:r>
          </w:p>
        </w:tc>
      </w:tr>
      <w:tr w14:paraId="3D61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Align w:val="center"/>
          </w:tcPr>
          <w:p w14:paraId="520DAC28">
            <w:pPr>
              <w:keepNext w:val="0"/>
              <w:keepLines w:val="0"/>
              <w:suppressLineNumbers w:val="0"/>
              <w:spacing w:before="0" w:beforeAutospacing="0" w:after="0" w:afterAutospacing="0"/>
              <w:ind w:left="0" w:right="0"/>
              <w:jc w:val="center"/>
              <w:rPr>
                <w:rFonts w:hint="default" w:ascii="宋体" w:hAnsi="宋体" w:eastAsia="宋体" w:cs="宋体"/>
                <w:color w:val="000000"/>
                <w:kern w:val="0"/>
                <w:szCs w:val="21"/>
              </w:rPr>
            </w:pPr>
          </w:p>
        </w:tc>
        <w:tc>
          <w:tcPr>
            <w:tcW w:w="4099" w:type="pct"/>
            <w:vAlign w:val="center"/>
          </w:tcPr>
          <w:p w14:paraId="06E764A9">
            <w:pPr>
              <w:keepNext w:val="0"/>
              <w:keepLines w:val="0"/>
              <w:suppressLineNumbers w:val="0"/>
              <w:spacing w:before="0" w:beforeAutospacing="0" w:after="0" w:afterAutospacing="0"/>
              <w:ind w:left="0" w:right="0"/>
              <w:rPr>
                <w:rFonts w:hint="default" w:ascii="宋体" w:hAnsi="宋体"/>
              </w:rPr>
            </w:pPr>
          </w:p>
        </w:tc>
      </w:tr>
    </w:tbl>
    <w:p w14:paraId="245C9469">
      <w:pPr>
        <w:rPr>
          <w:rFonts w:asciiTheme="minorEastAsia" w:hAnsiTheme="minorEastAsia"/>
          <w:szCs w:val="21"/>
        </w:rPr>
      </w:pPr>
    </w:p>
    <w:p w14:paraId="03B1FCB8">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10.其他商务需求</w:t>
      </w:r>
    </w:p>
    <w:tbl>
      <w:tblPr>
        <w:tblStyle w:val="16"/>
        <w:tblW w:w="498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2"/>
        <w:gridCol w:w="719"/>
        <w:gridCol w:w="837"/>
        <w:gridCol w:w="6871"/>
      </w:tblGrid>
      <w:tr w14:paraId="4AA28D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5" w:type="pct"/>
            <w:vAlign w:val="center"/>
          </w:tcPr>
          <w:p w14:paraId="7D653F80">
            <w:pPr>
              <w:keepNext w:val="0"/>
              <w:keepLines w:val="0"/>
              <w:suppressLineNumbers w:val="0"/>
              <w:tabs>
                <w:tab w:val="left" w:pos="420"/>
              </w:tabs>
              <w:spacing w:before="0" w:beforeAutospacing="0" w:after="0" w:afterAutospacing="0"/>
              <w:ind w:left="0" w:right="0"/>
              <w:jc w:val="center"/>
              <w:rPr>
                <w:rFonts w:hint="default"/>
                <w:b/>
                <w:bCs/>
              </w:rPr>
            </w:pPr>
            <w:r>
              <w:rPr>
                <w:rFonts w:hint="default"/>
                <w:b/>
                <w:bCs/>
              </w:rPr>
              <w:t>参数性质</w:t>
            </w:r>
          </w:p>
        </w:tc>
        <w:tc>
          <w:tcPr>
            <w:tcW w:w="390" w:type="pct"/>
            <w:vAlign w:val="center"/>
          </w:tcPr>
          <w:p w14:paraId="3824DCF7">
            <w:pPr>
              <w:keepNext w:val="0"/>
              <w:keepLines w:val="0"/>
              <w:suppressLineNumbers w:val="0"/>
              <w:spacing w:before="0" w:beforeAutospacing="0" w:after="0" w:afterAutospacing="0"/>
              <w:ind w:left="0" w:right="0"/>
              <w:jc w:val="center"/>
              <w:rPr>
                <w:rFonts w:hint="default"/>
                <w:b/>
                <w:bCs/>
              </w:rPr>
            </w:pPr>
            <w:r>
              <w:rPr>
                <w:rFonts w:hint="default"/>
                <w:b/>
                <w:bCs/>
              </w:rPr>
              <w:t>编号</w:t>
            </w:r>
          </w:p>
        </w:tc>
        <w:tc>
          <w:tcPr>
            <w:tcW w:w="454" w:type="pct"/>
            <w:vAlign w:val="center"/>
          </w:tcPr>
          <w:p w14:paraId="7899F640">
            <w:pPr>
              <w:keepNext w:val="0"/>
              <w:keepLines w:val="0"/>
              <w:suppressLineNumbers w:val="0"/>
              <w:spacing w:before="0" w:beforeAutospacing="0" w:after="0" w:afterAutospacing="0"/>
              <w:ind w:left="0" w:right="0"/>
              <w:jc w:val="center"/>
              <w:rPr>
                <w:rFonts w:hint="default"/>
                <w:b/>
                <w:bCs/>
              </w:rPr>
            </w:pPr>
            <w:r>
              <w:rPr>
                <w:rFonts w:hint="default"/>
                <w:b/>
                <w:bCs/>
              </w:rPr>
              <w:t>内容明细</w:t>
            </w:r>
          </w:p>
        </w:tc>
        <w:tc>
          <w:tcPr>
            <w:tcW w:w="3729" w:type="pct"/>
            <w:vAlign w:val="center"/>
          </w:tcPr>
          <w:p w14:paraId="262F83BA">
            <w:pPr>
              <w:keepNext w:val="0"/>
              <w:keepLines w:val="0"/>
              <w:suppressLineNumbers w:val="0"/>
              <w:spacing w:before="0" w:beforeAutospacing="0" w:after="0" w:afterAutospacing="0"/>
              <w:ind w:left="0" w:right="0"/>
              <w:jc w:val="center"/>
              <w:rPr>
                <w:rFonts w:hint="default"/>
                <w:b/>
                <w:bCs/>
              </w:rPr>
            </w:pPr>
            <w:r>
              <w:rPr>
                <w:rFonts w:hint="default"/>
                <w:b/>
                <w:bCs/>
              </w:rPr>
              <w:t>内容说明</w:t>
            </w:r>
          </w:p>
        </w:tc>
      </w:tr>
      <w:tr w14:paraId="36425D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5" w:type="pct"/>
            <w:vAlign w:val="center"/>
          </w:tcPr>
          <w:p w14:paraId="54D4553A">
            <w:pPr>
              <w:keepNext w:val="0"/>
              <w:keepLines w:val="0"/>
              <w:suppressLineNumbers w:val="0"/>
              <w:spacing w:before="0" w:beforeAutospacing="0" w:after="0" w:afterAutospacing="0"/>
              <w:ind w:left="0" w:right="0"/>
              <w:jc w:val="center"/>
              <w:rPr>
                <w:rFonts w:hint="default"/>
              </w:rPr>
            </w:pPr>
          </w:p>
        </w:tc>
        <w:tc>
          <w:tcPr>
            <w:tcW w:w="390" w:type="pct"/>
            <w:vAlign w:val="center"/>
          </w:tcPr>
          <w:p w14:paraId="32AA6100">
            <w:pPr>
              <w:keepNext w:val="0"/>
              <w:keepLines w:val="0"/>
              <w:suppressLineNumbers w:val="0"/>
              <w:spacing w:before="0" w:beforeAutospacing="0" w:after="0" w:afterAutospacing="0"/>
              <w:ind w:left="0" w:right="0"/>
              <w:jc w:val="center"/>
              <w:rPr>
                <w:rFonts w:hint="default"/>
              </w:rPr>
            </w:pPr>
            <w:r>
              <w:rPr>
                <w:rFonts w:hint="eastAsia"/>
              </w:rPr>
              <w:t>1</w:t>
            </w:r>
          </w:p>
        </w:tc>
        <w:tc>
          <w:tcPr>
            <w:tcW w:w="837" w:type="dxa"/>
            <w:vAlign w:val="center"/>
          </w:tcPr>
          <w:p w14:paraId="1F5BC262">
            <w:pPr>
              <w:keepNext w:val="0"/>
              <w:keepLines w:val="0"/>
              <w:suppressLineNumbers w:val="0"/>
              <w:spacing w:before="0" w:beforeAutospacing="0" w:after="0" w:afterAutospacing="0"/>
              <w:ind w:left="0" w:right="0"/>
              <w:jc w:val="center"/>
              <w:rPr>
                <w:rFonts w:hint="default"/>
              </w:rPr>
            </w:pPr>
            <w:r>
              <w:rPr>
                <w:rFonts w:hint="eastAsia"/>
              </w:rPr>
              <w:t>供应商要求</w:t>
            </w:r>
          </w:p>
        </w:tc>
        <w:tc>
          <w:tcPr>
            <w:tcW w:w="6869" w:type="dxa"/>
            <w:vAlign w:val="center"/>
          </w:tcPr>
          <w:p w14:paraId="68C8BFCD">
            <w:pPr>
              <w:pStyle w:val="7"/>
              <w:keepNext w:val="0"/>
              <w:keepLines w:val="0"/>
              <w:suppressLineNumbers w:val="0"/>
              <w:spacing w:before="0" w:beforeAutospacing="0" w:after="0" w:afterAutospacing="0"/>
              <w:ind w:left="0" w:right="0"/>
              <w:rPr>
                <w:rFonts w:hint="default" w:eastAsiaTheme="minorEastAsia"/>
              </w:rPr>
            </w:pPr>
            <w:r>
              <w:rPr>
                <w:rFonts w:hint="eastAsia" w:ascii="宋体" w:hAnsi="宋体" w:cs="宋体"/>
                <w:szCs w:val="21"/>
                <w:lang w:val="zh-CN"/>
              </w:rPr>
              <w:t>供应商自 2020年至今</w:t>
            </w:r>
            <w:r>
              <w:rPr>
                <w:rFonts w:hint="eastAsia" w:ascii="宋体" w:hAnsi="宋体" w:cs="宋体"/>
                <w:szCs w:val="21"/>
              </w:rPr>
              <w:t>有</w:t>
            </w:r>
            <w:r>
              <w:rPr>
                <w:rFonts w:hint="eastAsia" w:ascii="宋体" w:hAnsi="宋体" w:cs="宋体"/>
                <w:szCs w:val="21"/>
                <w:lang w:val="zh-CN"/>
              </w:rPr>
              <w:t>承接过的同类项目业绩经验，</w:t>
            </w:r>
            <w:r>
              <w:rPr>
                <w:rFonts w:hint="eastAsia" w:ascii="宋体" w:hAnsi="宋体" w:cs="宋体"/>
                <w:szCs w:val="21"/>
              </w:rPr>
              <w:t>有评价情况为“满意或类似好评”的满意度评价。</w:t>
            </w:r>
            <w:r>
              <w:rPr>
                <w:rFonts w:hint="eastAsia" w:ascii="宋体" w:hAnsi="宋体" w:cs="宋体"/>
                <w:szCs w:val="21"/>
                <w:lang w:val="zh-CN"/>
              </w:rPr>
              <w:t>供应商</w:t>
            </w:r>
            <w:r>
              <w:rPr>
                <w:rFonts w:hint="eastAsia" w:ascii="宋体" w:hAnsi="宋体" w:cs="宋体"/>
                <w:szCs w:val="21"/>
              </w:rPr>
              <w:t>有获得质量管理体系认证证书、环境管理体系认证证书、职业健康安全管理体系认证证书。</w:t>
            </w:r>
          </w:p>
        </w:tc>
      </w:tr>
      <w:tr w14:paraId="1D04C7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5" w:type="pct"/>
            <w:vAlign w:val="center"/>
          </w:tcPr>
          <w:p w14:paraId="7BC344FD">
            <w:pPr>
              <w:keepNext w:val="0"/>
              <w:keepLines w:val="0"/>
              <w:suppressLineNumbers w:val="0"/>
              <w:spacing w:before="0" w:beforeAutospacing="0" w:after="0" w:afterAutospacing="0"/>
              <w:ind w:left="0" w:right="0"/>
              <w:jc w:val="center"/>
              <w:rPr>
                <w:rFonts w:hint="default"/>
              </w:rPr>
            </w:pPr>
          </w:p>
        </w:tc>
        <w:tc>
          <w:tcPr>
            <w:tcW w:w="390" w:type="pct"/>
            <w:vAlign w:val="center"/>
          </w:tcPr>
          <w:p w14:paraId="5894786F">
            <w:pPr>
              <w:keepNext w:val="0"/>
              <w:keepLines w:val="0"/>
              <w:suppressLineNumbers w:val="0"/>
              <w:spacing w:before="0" w:beforeAutospacing="0" w:after="0" w:afterAutospacing="0"/>
              <w:ind w:left="0" w:right="0"/>
              <w:jc w:val="center"/>
              <w:rPr>
                <w:rFonts w:hint="default"/>
              </w:rPr>
            </w:pPr>
            <w:r>
              <w:rPr>
                <w:rFonts w:hint="eastAsia"/>
              </w:rPr>
              <w:t>2</w:t>
            </w:r>
          </w:p>
        </w:tc>
        <w:tc>
          <w:tcPr>
            <w:tcW w:w="454" w:type="pct"/>
            <w:vAlign w:val="center"/>
          </w:tcPr>
          <w:p w14:paraId="06430310">
            <w:pPr>
              <w:keepNext w:val="0"/>
              <w:keepLines w:val="0"/>
              <w:suppressLineNumbers w:val="0"/>
              <w:spacing w:before="0" w:beforeAutospacing="0" w:after="0" w:afterAutospacing="0"/>
              <w:ind w:left="0" w:right="0"/>
              <w:jc w:val="center"/>
              <w:rPr>
                <w:rFonts w:hint="default"/>
              </w:rPr>
            </w:pPr>
            <w:r>
              <w:rPr>
                <w:rFonts w:hint="eastAsia"/>
                <w:lang w:eastAsia="zh-CN"/>
              </w:rPr>
              <w:t>报价</w:t>
            </w:r>
            <w:r>
              <w:rPr>
                <w:rFonts w:hint="eastAsia"/>
              </w:rPr>
              <w:t>要求</w:t>
            </w:r>
          </w:p>
        </w:tc>
        <w:tc>
          <w:tcPr>
            <w:tcW w:w="3729" w:type="pct"/>
            <w:vAlign w:val="center"/>
          </w:tcPr>
          <w:p w14:paraId="3B188E61">
            <w:pPr>
              <w:pStyle w:val="7"/>
              <w:keepNext w:val="0"/>
              <w:keepLines w:val="0"/>
              <w:suppressLineNumbers w:val="0"/>
              <w:spacing w:before="0" w:beforeAutospacing="0" w:after="0" w:afterAutospacing="0"/>
              <w:ind w:left="0" w:right="0"/>
              <w:rPr>
                <w:rFonts w:hint="default" w:eastAsiaTheme="minorEastAsia"/>
              </w:rPr>
            </w:pPr>
            <w:r>
              <w:rPr>
                <w:rFonts w:hint="eastAsia" w:ascii="宋体" w:hAnsi="宋体" w:cs="宋体"/>
                <w:szCs w:val="21"/>
              </w:rPr>
              <w:t>供应商</w:t>
            </w:r>
            <w:r>
              <w:rPr>
                <w:rFonts w:hint="eastAsia" w:ascii="宋体" w:hAnsi="宋体" w:cs="宋体"/>
                <w:szCs w:val="21"/>
                <w:lang w:eastAsia="zh-CN"/>
              </w:rPr>
              <w:t>报价</w:t>
            </w:r>
            <w:r>
              <w:rPr>
                <w:rFonts w:hint="eastAsia" w:ascii="宋体" w:hAnsi="宋体" w:cs="宋体"/>
                <w:szCs w:val="21"/>
              </w:rPr>
              <w:t>时需提供检测、评估方案（包括但不限于各个系统的检测、评估对象、目标、要求的认识和服务方案等）、消防故障解决方案（包括但不限于对可能存在的消防系统一般故障和严重故障的认知程度及对此提出的解决方案效果等）、质量保证体系及措施（包括但不限于本项目服务质量目标、质量承诺、质量保障体系和措施等）、安全保障方案（包括但不限于安全教育、安全培训、安全措施、安全事故解决方案等）。</w:t>
            </w:r>
          </w:p>
        </w:tc>
      </w:tr>
    </w:tbl>
    <w:p w14:paraId="115E1137">
      <w:pPr>
        <w:rPr>
          <w:rFonts w:asciiTheme="minorEastAsia" w:hAnsiTheme="minorEastAsia"/>
          <w:szCs w:val="21"/>
        </w:rPr>
      </w:pPr>
      <w:r>
        <w:rPr>
          <w:rFonts w:hint="eastAsia" w:asciiTheme="minorEastAsia" w:hAnsiTheme="minorEastAsia"/>
          <w:szCs w:val="21"/>
        </w:rPr>
        <w:br w:type="page"/>
      </w:r>
    </w:p>
    <w:p w14:paraId="40962E38">
      <w:pPr>
        <w:pStyle w:val="4"/>
        <w:rPr>
          <w:rFonts w:asciiTheme="minorEastAsia" w:hAnsiTheme="minorEastAsia"/>
          <w:sz w:val="21"/>
          <w:szCs w:val="21"/>
        </w:rPr>
      </w:pPr>
      <w:r>
        <w:rPr>
          <w:rFonts w:hint="eastAsia" w:asciiTheme="minorEastAsia" w:hAnsiTheme="minorEastAsia"/>
          <w:sz w:val="21"/>
          <w:szCs w:val="21"/>
        </w:rPr>
        <w:t>（二）技术要求</w:t>
      </w:r>
    </w:p>
    <w:p w14:paraId="3CBF7067">
      <w:pPr>
        <w:pStyle w:val="5"/>
        <w:rPr>
          <w:rFonts w:asciiTheme="minorEastAsia" w:hAnsiTheme="minorEastAsia" w:eastAsiaTheme="minorEastAsia"/>
          <w:sz w:val="21"/>
          <w:szCs w:val="21"/>
        </w:rPr>
      </w:pPr>
      <w:r>
        <w:rPr>
          <w:rFonts w:hint="eastAsia" w:asciiTheme="minorEastAsia" w:hAnsiTheme="minorEastAsia" w:eastAsiaTheme="minorEastAsia"/>
          <w:sz w:val="21"/>
          <w:szCs w:val="21"/>
        </w:rPr>
        <w:t>附表一</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549"/>
        <w:gridCol w:w="8035"/>
      </w:tblGrid>
      <w:tr w14:paraId="38958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356" w:type="pct"/>
            <w:vAlign w:val="center"/>
          </w:tcPr>
          <w:p w14:paraId="6EFB1960">
            <w:pPr>
              <w:keepNext w:val="0"/>
              <w:keepLines w:val="0"/>
              <w:suppressLineNumbers w:val="0"/>
              <w:spacing w:before="0" w:beforeAutospacing="0" w:after="0" w:afterAutospacing="0" w:line="240" w:lineRule="auto"/>
              <w:ind w:left="0" w:right="0"/>
              <w:jc w:val="center"/>
              <w:rPr>
                <w:rFonts w:hint="default" w:asciiTheme="minorEastAsia" w:hAnsiTheme="minorEastAsia"/>
                <w:b/>
                <w:szCs w:val="21"/>
              </w:rPr>
            </w:pPr>
            <w:r>
              <w:rPr>
                <w:rFonts w:hint="eastAsia" w:asciiTheme="minorEastAsia" w:hAnsiTheme="minorEastAsia"/>
                <w:b/>
                <w:szCs w:val="21"/>
              </w:rPr>
              <w:t>参数性质</w:t>
            </w:r>
          </w:p>
        </w:tc>
        <w:tc>
          <w:tcPr>
            <w:tcW w:w="297" w:type="pct"/>
            <w:vAlign w:val="center"/>
          </w:tcPr>
          <w:p w14:paraId="52047BE4">
            <w:pPr>
              <w:keepNext w:val="0"/>
              <w:keepLines w:val="0"/>
              <w:suppressLineNumbers w:val="0"/>
              <w:spacing w:before="0" w:beforeAutospacing="0" w:after="0" w:afterAutospacing="0" w:line="240" w:lineRule="auto"/>
              <w:ind w:left="0" w:right="0"/>
              <w:jc w:val="center"/>
              <w:rPr>
                <w:rFonts w:hint="default" w:asciiTheme="minorEastAsia" w:hAnsiTheme="minorEastAsia"/>
                <w:b/>
                <w:szCs w:val="21"/>
              </w:rPr>
            </w:pPr>
            <w:r>
              <w:rPr>
                <w:rFonts w:hint="eastAsia" w:asciiTheme="minorEastAsia" w:hAnsiTheme="minorEastAsia"/>
                <w:b/>
                <w:szCs w:val="21"/>
              </w:rPr>
              <w:t>序号</w:t>
            </w:r>
          </w:p>
        </w:tc>
        <w:tc>
          <w:tcPr>
            <w:tcW w:w="4346" w:type="pct"/>
            <w:vAlign w:val="center"/>
          </w:tcPr>
          <w:p w14:paraId="17AAC513">
            <w:pPr>
              <w:keepNext w:val="0"/>
              <w:keepLines w:val="0"/>
              <w:suppressLineNumbers w:val="0"/>
              <w:spacing w:before="0" w:beforeAutospacing="0" w:after="0" w:afterAutospacing="0" w:line="240" w:lineRule="auto"/>
              <w:ind w:left="0" w:right="0"/>
              <w:jc w:val="center"/>
              <w:rPr>
                <w:rFonts w:hint="default" w:asciiTheme="minorEastAsia" w:hAnsiTheme="minorEastAsia"/>
                <w:b/>
                <w:szCs w:val="21"/>
              </w:rPr>
            </w:pPr>
            <w:r>
              <w:rPr>
                <w:rFonts w:hint="eastAsia" w:asciiTheme="minorEastAsia" w:hAnsiTheme="minorEastAsia"/>
                <w:b/>
                <w:szCs w:val="21"/>
              </w:rPr>
              <w:t>具体技术（参数）要求</w:t>
            </w:r>
          </w:p>
        </w:tc>
      </w:tr>
      <w:tr w14:paraId="46EA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56" w:type="pct"/>
            <w:vAlign w:val="center"/>
          </w:tcPr>
          <w:p w14:paraId="2C1B67C0">
            <w:pPr>
              <w:keepNext w:val="0"/>
              <w:keepLines w:val="0"/>
              <w:suppressLineNumbers w:val="0"/>
              <w:spacing w:before="0" w:beforeAutospacing="0" w:after="0" w:afterAutospacing="0"/>
              <w:ind w:left="0" w:right="0"/>
              <w:jc w:val="center"/>
              <w:rPr>
                <w:rFonts w:hint="default" w:asciiTheme="minorEastAsia" w:hAnsiTheme="minorEastAsia"/>
                <w:color w:val="FF0000"/>
                <w:szCs w:val="21"/>
              </w:rPr>
            </w:pPr>
          </w:p>
        </w:tc>
        <w:tc>
          <w:tcPr>
            <w:tcW w:w="297" w:type="pct"/>
            <w:vAlign w:val="center"/>
          </w:tcPr>
          <w:p w14:paraId="525C7E43">
            <w:pPr>
              <w:pStyle w:val="36"/>
              <w:keepNext w:val="0"/>
              <w:keepLines w:val="0"/>
              <w:suppressLineNumbers w:val="0"/>
              <w:spacing w:before="0" w:beforeAutospacing="0" w:after="0" w:afterAutospacing="0"/>
              <w:ind w:left="49" w:right="0" w:firstLine="0"/>
              <w:jc w:val="center"/>
              <w:rPr>
                <w:rFonts w:hint="default" w:asciiTheme="minorEastAsia" w:hAnsiTheme="minorEastAsia" w:eastAsiaTheme="minorEastAsia"/>
                <w:sz w:val="21"/>
                <w:szCs w:val="21"/>
              </w:rPr>
            </w:pPr>
            <w:r>
              <w:rPr>
                <w:rFonts w:hint="eastAsia" w:asciiTheme="minorEastAsia" w:hAnsiTheme="minorEastAsia" w:eastAsiaTheme="minorEastAsia"/>
                <w:sz w:val="21"/>
                <w:szCs w:val="21"/>
              </w:rPr>
              <w:t>1</w:t>
            </w:r>
          </w:p>
        </w:tc>
        <w:tc>
          <w:tcPr>
            <w:tcW w:w="4346" w:type="pct"/>
            <w:vAlign w:val="center"/>
          </w:tcPr>
          <w:p w14:paraId="1C32AAA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eastAsia" w:asciiTheme="minorEastAsia" w:hAnsiTheme="minorEastAsia" w:eastAsiaTheme="minorEastAsia"/>
                <w:b/>
                <w:bCs/>
                <w:sz w:val="21"/>
                <w:szCs w:val="21"/>
              </w:rPr>
              <w:t>一、</w:t>
            </w:r>
            <w:r>
              <w:rPr>
                <w:rFonts w:hint="default" w:asciiTheme="minorEastAsia" w:hAnsiTheme="minorEastAsia" w:eastAsiaTheme="minorEastAsia"/>
                <w:b/>
                <w:bCs/>
                <w:sz w:val="21"/>
                <w:szCs w:val="21"/>
              </w:rPr>
              <w:t>检测、评估内容与要求细则</w:t>
            </w:r>
          </w:p>
          <w:p w14:paraId="6A5B508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default" w:asciiTheme="minorEastAsia" w:hAnsiTheme="minorEastAsia" w:eastAsiaTheme="minorEastAsia"/>
                <w:b/>
                <w:bCs/>
                <w:sz w:val="21"/>
                <w:szCs w:val="21"/>
              </w:rPr>
              <w:t>1、消防设施检测工作内容</w:t>
            </w:r>
          </w:p>
          <w:p w14:paraId="431C179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default" w:asciiTheme="minorEastAsia" w:hAnsiTheme="minorEastAsia" w:eastAsiaTheme="minorEastAsia"/>
                <w:b/>
                <w:bCs/>
                <w:sz w:val="21"/>
                <w:szCs w:val="21"/>
              </w:rPr>
              <w:t>1.1检测步骤</w:t>
            </w:r>
          </w:p>
          <w:p w14:paraId="32F05FC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eastAsia" w:asciiTheme="minorEastAsia" w:hAnsiTheme="minorEastAsia" w:eastAsiaTheme="minorEastAsia"/>
                <w:sz w:val="21"/>
                <w:szCs w:val="21"/>
              </w:rPr>
              <w:t>成交供应商</w:t>
            </w:r>
            <w:r>
              <w:rPr>
                <w:rFonts w:hint="default" w:asciiTheme="minorEastAsia" w:hAnsiTheme="minorEastAsia" w:eastAsiaTheme="minorEastAsia"/>
                <w:sz w:val="21"/>
                <w:szCs w:val="21"/>
              </w:rPr>
              <w:t>须根据国家有关消防规范标准进行建筑消防设施检测，采用先进的检测仪器设备，运用科学的专业技术模拟火警，将火灾自动报警控制器接收的各个报警信号，输出至消防联动控制器实现报警及联动功能，完成技术性检查测试。</w:t>
            </w:r>
          </w:p>
          <w:p w14:paraId="296A3D1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全面开展检测工作前，必须确认工程现场的基本情况、明确在检测工作中的具体要求，以及及时提出采购方需要配合的要求，并将检测的现场配合条件等信息及时反馈给采购方，以便检测工作顺利开展。</w:t>
            </w:r>
          </w:p>
          <w:p w14:paraId="38DA8C0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1.1.1检测工作步骤</w:t>
            </w:r>
          </w:p>
          <w:p w14:paraId="0B6BD99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（1）单项检测：</w:t>
            </w:r>
          </w:p>
          <w:p w14:paraId="3B3CFCA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按区域检测各系统组件的外观、安装质量及单项功能。</w:t>
            </w:r>
          </w:p>
          <w:p w14:paraId="6DA1DA6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（2）消防电源及其配电的检测：</w:t>
            </w:r>
          </w:p>
          <w:p w14:paraId="08F67D5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对备用发电机的功能、供电回路及各消防设备双电源末端切换装置的自动切换功能的检测。</w:t>
            </w:r>
          </w:p>
          <w:p w14:paraId="21DD631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（3）各系统联动的检测：</w:t>
            </w:r>
          </w:p>
          <w:p w14:paraId="2C2D274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完成检测区域的各系统相关单体的检测后，对各消防系统的联动功能进行测试。即对消防水泵的联动、防排烟风机和风阀的联动、防火门、切断非消防电源功能的联动、电梯、消防警铃及消防广播联动等。</w:t>
            </w:r>
          </w:p>
          <w:p w14:paraId="7180DDC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p>
          <w:p w14:paraId="67226ED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default" w:asciiTheme="minorEastAsia" w:hAnsiTheme="minorEastAsia" w:eastAsiaTheme="minorEastAsia"/>
                <w:b/>
                <w:bCs/>
                <w:sz w:val="21"/>
                <w:szCs w:val="21"/>
              </w:rPr>
              <w:t>1.2单项检测的内容和方法</w:t>
            </w:r>
          </w:p>
          <w:p w14:paraId="1A5662E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1.2.1火灾自动报警系统</w:t>
            </w:r>
          </w:p>
          <w:p w14:paraId="4E5E3F5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（1）检测火灾报警控制器：</w:t>
            </w:r>
          </w:p>
          <w:p w14:paraId="4FEE777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A.外观安装质量、配线、接地保护、电源开关保护情况是否符合规范要求。</w:t>
            </w:r>
          </w:p>
          <w:p w14:paraId="3C6F8AE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B.测试火灾报警控制器自检、故障报警、显示、消音、复位、记忆、火灾优先功能是否符合规范要求。</w:t>
            </w:r>
          </w:p>
          <w:p w14:paraId="2688025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a.自检功能检测：</w:t>
            </w:r>
          </w:p>
          <w:p w14:paraId="6FB2FE4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触发自检键对面板上所有指示灯、显示器和音响器件进行自检。</w:t>
            </w:r>
          </w:p>
          <w:p w14:paraId="5DE087C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b.故障报警及显示功能检测：</w:t>
            </w:r>
          </w:p>
          <w:p w14:paraId="130A74D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现场断开火灾探测器，模拟故障信号，查看火灾报警控制器是否能准确显示故障部位。</w:t>
            </w:r>
          </w:p>
          <w:p w14:paraId="3DD634B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c.消音功能检测：</w:t>
            </w:r>
          </w:p>
          <w:p w14:paraId="138F330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按下火灾报警控制器消音键，查看该按钮是否能及时消音。</w:t>
            </w:r>
          </w:p>
          <w:p w14:paraId="0CFAD29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d.火灾优先功能检测：</w:t>
            </w:r>
          </w:p>
          <w:p w14:paraId="3BBE6D6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在故障信号存在情况下，现场用烟雾发生器向感烟探测器加烟令其动作，查看火灾报警控制器是否能迅速显示该部位及重新启动报警声响。</w:t>
            </w:r>
          </w:p>
          <w:p w14:paraId="2788D2E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e.复位功能检测：</w:t>
            </w:r>
          </w:p>
          <w:p w14:paraId="0944CFF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按下火灾报警控制器复位键，查看该按钮是否能使报警探测器复位。</w:t>
            </w:r>
          </w:p>
          <w:p w14:paraId="7DE107E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C.检测火灾自动报警控制器备用电源容量，主备电源切换试验是否符合规范要求：</w:t>
            </w:r>
          </w:p>
          <w:p w14:paraId="4C4A2C4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a.主备电源切换功能检测：</w:t>
            </w:r>
          </w:p>
          <w:p w14:paraId="68ECC3E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切断主电源，查看备用直流电源能否自动投入使用并有状态显示。</w:t>
            </w:r>
          </w:p>
          <w:p w14:paraId="7AF8BC1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b.备用电源容量检测：</w:t>
            </w:r>
          </w:p>
          <w:p w14:paraId="6642F26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在备用直流电源供电状态下，火灾报警控制器至少保持警戒30分钟以上。</w:t>
            </w:r>
          </w:p>
          <w:p w14:paraId="17A80FA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（2）检测联动控制器：</w:t>
            </w:r>
          </w:p>
          <w:p w14:paraId="79832A9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A.外观安装质量、配线、接地保护、电源开关等情况是否符合规范要求。</w:t>
            </w:r>
          </w:p>
          <w:p w14:paraId="097630C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B.检测手动直接启动功能：测试直接启动按钮能否直接启动消防水泵和防排烟风机。</w:t>
            </w:r>
          </w:p>
          <w:p w14:paraId="677C37F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（3）检测火灾显示器:</w:t>
            </w:r>
          </w:p>
          <w:p w14:paraId="4CD1357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A.火灾显示功能检测：</w:t>
            </w:r>
          </w:p>
          <w:p w14:paraId="5311D4D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接收火灾报警信号、发出声光信号指示火灾发生部位并保持。</w:t>
            </w:r>
          </w:p>
          <w:p w14:paraId="3620F26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B.光信号复位功能检测：</w:t>
            </w:r>
          </w:p>
          <w:p w14:paraId="4416158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光报警信号在控制器复位之前不能收到消除。</w:t>
            </w:r>
          </w:p>
          <w:p w14:paraId="2F3AB2C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C.声音信号消除检测：</w:t>
            </w:r>
          </w:p>
          <w:p w14:paraId="08E16C2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声报警信号应能收到消除并有消音指示。</w:t>
            </w:r>
          </w:p>
          <w:p w14:paraId="210B0A9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D.火灾时再启动检测：</w:t>
            </w:r>
          </w:p>
          <w:p w14:paraId="65D9C4D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在消除声报警后，再次有火灾报警信号输入时，应能再启动。</w:t>
            </w:r>
          </w:p>
          <w:p w14:paraId="32A9940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（4）检测消防控制室图形显示装置（CRT）：</w:t>
            </w:r>
          </w:p>
          <w:p w14:paraId="176DF70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A、外观、标志、安装质量等情况是否符合规范要求；</w:t>
            </w:r>
          </w:p>
          <w:p w14:paraId="12182D4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B、测试图形显示装置的火灾报警和状态显示功能、故障报警功能、信息记录查询功能、信息传输功能等是否符合规范要求，并客观、完整记录现场数据、信息。</w:t>
            </w:r>
          </w:p>
          <w:p w14:paraId="71D5320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（5）系统布线的检测：</w:t>
            </w:r>
          </w:p>
          <w:p w14:paraId="63CF07F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检测系统布线是否符合规范要求。</w:t>
            </w:r>
          </w:p>
          <w:p w14:paraId="5469D6C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（6）感烟、感温火灾探测器的检测：</w:t>
            </w:r>
          </w:p>
          <w:p w14:paraId="2EA02E8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A.检测感烟、感温火灾探测器的设置是否符合规范要求。</w:t>
            </w:r>
          </w:p>
          <w:p w14:paraId="728F38F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B.检测感烟、感温火灾探测器的外观是否完整无缺，安装是否牢固。</w:t>
            </w:r>
          </w:p>
          <w:p w14:paraId="7F69831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用专用的感烟、感温火灾探测器试验器模拟火警信号，检测探测器的报警功能和报警地址编码是否符合规范要求（报警地址的查看结合电脑终端CRT的平面显示图的位置和报警部位名称是否与现场一致，并用打印机打印当天检测的历史记录以作备查）。</w:t>
            </w:r>
          </w:p>
          <w:p w14:paraId="44FBB87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（7）手动报警按钮的检测：</w:t>
            </w:r>
          </w:p>
          <w:p w14:paraId="16794B2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A.检测其手动报警按钮的设置是否符合消防规范的要求。</w:t>
            </w:r>
          </w:p>
          <w:p w14:paraId="0BDF699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B.报警功能检测：用专用钥匙插入试验孔令其动作报警，报警后拔出专用钥匙让其复位，然后主机复位，查看其是否能正常复位。</w:t>
            </w:r>
          </w:p>
          <w:p w14:paraId="3895CFA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（8）火灾警报装置和消防应急广播的检测：</w:t>
            </w:r>
          </w:p>
          <w:p w14:paraId="6EE68F9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A.检测警铃和消防应急广播的设置是否符合规范要求和设计要求。</w:t>
            </w:r>
          </w:p>
          <w:p w14:paraId="67453D1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B.检测联动时，用声级计分别检测其声级数是否符合规范要求，并检测其是否安装牢固。</w:t>
            </w:r>
          </w:p>
          <w:p w14:paraId="3B9F7CB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C.消防应急广播的检测：在消防控制室内手动打开所有的消防应急广播，现场用声级计分别检测其声级数是否符合规范要求。</w:t>
            </w:r>
          </w:p>
          <w:p w14:paraId="3051DAE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（9） 消防电话的检测：</w:t>
            </w:r>
          </w:p>
          <w:p w14:paraId="10F1FCE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用专用的消防电话插入电话插孔，检测与消防控制室通话功能；及检测消防电话分机与消防控制室通话功能。</w:t>
            </w:r>
          </w:p>
          <w:p w14:paraId="0C22A6F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（10）电梯的检测：</w:t>
            </w:r>
          </w:p>
          <w:p w14:paraId="2FA0258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A.检测电梯消防管制功能是否符合规范要求。</w:t>
            </w:r>
          </w:p>
          <w:p w14:paraId="4939247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B.火灾确认后，检测消防控制室能否自动或手动将全部电梯强制停于首层；</w:t>
            </w:r>
          </w:p>
          <w:p w14:paraId="3E2E33B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C.检测电梯迫降信号能否正常反馈至消防控制室。</w:t>
            </w:r>
          </w:p>
          <w:p w14:paraId="5EDEEA3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1.2.2消防电源及应急照明疏散指示系统</w:t>
            </w:r>
          </w:p>
          <w:p w14:paraId="2175846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（1）消防电源的检测：</w:t>
            </w:r>
          </w:p>
          <w:p w14:paraId="2A0D994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A、查看消防用电设备电源供电负荷等级是否满足规范要求，检查消防用电设备如：消防控制室、消防水泵房、防排烟风机等的供电是否在最末级配电箱设置自动切换装置，是否能正常切换。</w:t>
            </w:r>
          </w:p>
          <w:p w14:paraId="654E610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注：各消防设备最末端配电箱设置自动切换功能需甲方专业人员操作。</w:t>
            </w:r>
          </w:p>
          <w:p w14:paraId="5C43FF6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B、一级负荷建筑：发电机和低压配电双电源自动切换开关是否处于</w:t>
            </w:r>
          </w:p>
          <w:p w14:paraId="7516FEC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自动状态，断开主电源，发电机能否在30秒内能自动投入供电；</w:t>
            </w:r>
          </w:p>
          <w:p w14:paraId="2C4B57A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注：断开主电源及发电机的启动需甲方专业人员操作。</w:t>
            </w:r>
          </w:p>
          <w:p w14:paraId="39AC121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C、检测火灾确认后，能否在消防控制室自动或人工切断相关部位的非消防电源。</w:t>
            </w:r>
          </w:p>
          <w:p w14:paraId="513D5EE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（2）应急照明灯的检测：</w:t>
            </w:r>
          </w:p>
          <w:p w14:paraId="610911F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检查消防控制室、消防水泵房、自备发电机房、配电房等的灯具在一路电源切断后，灯具是否能正常点亮；各层疏散楼梯间、疏散走道等是否按照规范设置应急照明灯，当应急灯具自带蓄电池时，检查其蓄电池应急时间能否满足规范要求。</w:t>
            </w:r>
          </w:p>
          <w:p w14:paraId="2D5C1FF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（3）疏散指示标志的检测：</w:t>
            </w:r>
          </w:p>
          <w:p w14:paraId="1CECA20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A.疏散指示标志的设置是否符合规范要求。</w:t>
            </w:r>
          </w:p>
          <w:p w14:paraId="3CE2920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B.疏散指示标志能否点亮，并检测其应急工作时间能否满足规范要求。</w:t>
            </w:r>
          </w:p>
          <w:p w14:paraId="74CCE72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C.内部发光疏散指示标志电线，不得采用插头连接。</w:t>
            </w:r>
          </w:p>
          <w:p w14:paraId="133341F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D.持续型和集中控制型内部发光疏散指示标志的供电，主电源宜在双电源互投后最末一级配电箱取电。</w:t>
            </w:r>
          </w:p>
          <w:p w14:paraId="35373CC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E.非持续型内部发光疏散指示标志的供电，主电源应有发生火灾时点亮疏散指示标志的措施。</w:t>
            </w:r>
          </w:p>
          <w:p w14:paraId="1CF8C5E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1.2.3消火栓系统</w:t>
            </w:r>
          </w:p>
          <w:p w14:paraId="72AECB2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（1）消防水池的检测：</w:t>
            </w:r>
          </w:p>
          <w:p w14:paraId="7F7DC67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检测消防水池是否设有自动供水装置，是否设置水位显示装置，设置最高，最低报警水位检测，与生活用水共用消防水池时，是否设置保证消防用水措施。</w:t>
            </w:r>
          </w:p>
          <w:p w14:paraId="4F4E83C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（2）消防水箱的检测：</w:t>
            </w:r>
          </w:p>
          <w:p w14:paraId="4980D04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检测消防水箱和水管是否有防锈处理；检测消防水箱是否设置自动供水设施、出水管口是否设置止回阀；是否设置水位显示装置，设置最高，最低报警水位检测，检测与生活合用消防水箱是否有确保消防用水措施。</w:t>
            </w:r>
          </w:p>
          <w:p w14:paraId="2ACCF51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（3）供水设备：</w:t>
            </w:r>
          </w:p>
          <w:p w14:paraId="28F07CF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A.检测消防水泵的外观、标志、安装质量。</w:t>
            </w:r>
          </w:p>
          <w:p w14:paraId="38C31D0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B.检测水泵吸水方式、吸水管控制阀、吸水管条数和出水管及附件、阀门的安装设置情况是否符合设计及规范要求。</w:t>
            </w:r>
          </w:p>
          <w:p w14:paraId="3061464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C.检测消防水泵的启动情况：水泵手动、消防控制室远程启动，消防泵能否动作且信号反馈回消防中心。</w:t>
            </w:r>
          </w:p>
          <w:p w14:paraId="29F9053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D.主备泵的切换功能检测：模拟主泵故障，备用泵是否能自动投入，水泵故障信号是否能反馈至消防控制中心。</w:t>
            </w:r>
          </w:p>
          <w:p w14:paraId="524659B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注意事项：消火栓泵相关功能检测包括；现场手动启动、消防控制室远程启动、主备泵自动切换及信号反馈等。消火栓泵启动应提前开启对应泵组出水管上的试验放水阀，以防管网超压。</w:t>
            </w:r>
          </w:p>
          <w:p w14:paraId="4605099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E.检测气压罐和稳压泵的设置、安装情况。</w:t>
            </w:r>
          </w:p>
          <w:p w14:paraId="1D9EB1C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F.消火栓系统管网，检测其材质、管径、外观及管支架。</w:t>
            </w:r>
          </w:p>
          <w:p w14:paraId="0FF2D5B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（4）消火栓箱及配件：</w:t>
            </w:r>
          </w:p>
          <w:p w14:paraId="7509645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A.消火栓的设置要保证两支充实水柱同时达到被保护的部位。</w:t>
            </w:r>
          </w:p>
          <w:p w14:paraId="1120DE6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B.检测其标志及结构质量，要有明显标志，结构牢固美观、箱门开启灵活，有防锈蚀措施；组件完整便于操作，无生锈 、漏水和接口垫圈无缺损，水枪、水带、卷盘等的设置配备，质量完好。</w:t>
            </w:r>
          </w:p>
          <w:p w14:paraId="3A057B1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C.室外消火栓在建筑物周围的设置要符合规范要求。</w:t>
            </w:r>
          </w:p>
          <w:p w14:paraId="18A77AD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D.水泵接合器的设置要求在消防车容易连接的地方，标志明确。</w:t>
            </w:r>
          </w:p>
          <w:p w14:paraId="69A75EF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（5）水压的检测：</w:t>
            </w:r>
          </w:p>
          <w:p w14:paraId="3CEBA64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A.检测消防控制中心远程启动消火栓泵，应启动顺利、运行正常、显示正确。</w:t>
            </w:r>
          </w:p>
          <w:p w14:paraId="5FCB0C5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B.检测最有利点消火栓静压：在最有利点消火栓处接上消火栓试水装置，打开栓口阀，打开试水装置上的截止阀放气再关闭，观察记录消火栓试水装置的压力显示数值。</w:t>
            </w:r>
          </w:p>
          <w:p w14:paraId="5CBBD12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C.检测最不利点静压：最不利点消火栓处测试消火栓试水情况，观察记录消火栓试水装置的压力显示数值。</w:t>
            </w:r>
          </w:p>
          <w:p w14:paraId="105D010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D.检测消火栓的动压：在最有利点和最不利点消火栓处测试消火栓试水情况，观察记录消火栓试水装置上的压力表显示数值。</w:t>
            </w:r>
          </w:p>
          <w:p w14:paraId="6930C43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E.检测最不利点充实水柱：最不利点消火栓处测试,启动消火栓泵，测量充实水柱长度。</w:t>
            </w:r>
          </w:p>
          <w:p w14:paraId="12580D5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1.2.4自动喷水灭火系统</w:t>
            </w:r>
          </w:p>
          <w:p w14:paraId="292E16C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（1）检测消防供水设备：</w:t>
            </w:r>
          </w:p>
          <w:p w14:paraId="031AB05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A.喷淋泵外观、标志、安装质量。</w:t>
            </w:r>
          </w:p>
          <w:p w14:paraId="16A5B64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B.喷淋泵的启动、故障显示、主备泵切换、现场手动按钮及信号反馈情况等功能是否正常。</w:t>
            </w:r>
          </w:p>
          <w:p w14:paraId="77F8CE8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注意事项：喷淋泵的相关功能检测包括；现场手动启动、消防控制室远程启动、主备泵自动切换及信号反馈等。喷淋泵启动应提前开启对应泵组出水管上的试验放水阀，以防管网超压。</w:t>
            </w:r>
          </w:p>
          <w:p w14:paraId="631883D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（2）消防管网的检测：</w:t>
            </w:r>
          </w:p>
          <w:p w14:paraId="7C9A257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检测管材的外观、管道直径、支吊架设置、减压孔板、管网布置、管道连接方式、末端试水装置等是否符合规范要求。</w:t>
            </w:r>
          </w:p>
          <w:p w14:paraId="1412C87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（3）水泵接合器的检测：</w:t>
            </w:r>
          </w:p>
          <w:p w14:paraId="6AC31D4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检测水泵接合器的位置、数量、安装质量、组件、标志是否符合设计及规范要求。</w:t>
            </w:r>
          </w:p>
          <w:p w14:paraId="603C78D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（4）湿式报警阀的检测：</w:t>
            </w:r>
          </w:p>
          <w:p w14:paraId="579B89F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A.外观完好、组件齐全，阀瓣启闭是否灵活，密封性能良好。</w:t>
            </w:r>
          </w:p>
          <w:p w14:paraId="6989E5A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B.其他组成部分如延迟器、压力开关、水力警铃、水源总控制阀的安装及功能是否符合规范要求。</w:t>
            </w:r>
          </w:p>
          <w:p w14:paraId="1DC6582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C.湿式报警阀阀前管是否与消防高位水箱接通。</w:t>
            </w:r>
          </w:p>
          <w:p w14:paraId="3F35DE4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（5）喷头的检测：</w:t>
            </w:r>
          </w:p>
          <w:p w14:paraId="5A9F73A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检测喷头的型号、规格、安装质量、布置是否符合设计及规范要求。</w:t>
            </w:r>
          </w:p>
          <w:p w14:paraId="2DD58F6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（6）水流指示器及信号阀检测：</w:t>
            </w:r>
          </w:p>
          <w:p w14:paraId="0B027C5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A.水流指示器及信号阀的安装质量。</w:t>
            </w:r>
          </w:p>
          <w:p w14:paraId="5D69761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B.检测水流指示器的功能试验及复位功能。</w:t>
            </w:r>
          </w:p>
          <w:p w14:paraId="74E596D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C.检测信号阀的开关信号反馈功能。</w:t>
            </w:r>
          </w:p>
          <w:p w14:paraId="4813BF9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1.2.5防排烟系统</w:t>
            </w:r>
          </w:p>
          <w:p w14:paraId="648CE63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（1）自然排烟：</w:t>
            </w:r>
          </w:p>
          <w:p w14:paraId="39513D6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 检测低层建筑大于20m内走道的自然排烟可开启外窗净面积不应少于该走道面积的2％。</w:t>
            </w:r>
          </w:p>
          <w:p w14:paraId="1214723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 检测低层公共建筑面积大于300㎡地上房间的自然排烟其可开启外窗净面积不应小于该房间面积的2％。</w:t>
            </w:r>
          </w:p>
          <w:p w14:paraId="6F4DA77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C.高层建筑大于20m内走道的自然排烟可开启外窗净面积不应少于该走道面积的2％。</w:t>
            </w:r>
          </w:p>
          <w:p w14:paraId="0E267A7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D.高层建筑面积大于100㎡地上房间的自然排烟其可开启外窗净面积不应小于该房间面积的2％。</w:t>
            </w:r>
          </w:p>
          <w:p w14:paraId="778890C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E.检测防烟楼梯间前室的自然排烟可开启外窗净面积不应少于2㎡。</w:t>
            </w:r>
          </w:p>
          <w:p w14:paraId="2E12954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F.检测防烟楼梯间的自然排烟每五层内可开启外窗净总面积之和不应少于2㎡。</w:t>
            </w:r>
          </w:p>
          <w:p w14:paraId="49FB6FC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（2）加压送风机的检测：</w:t>
            </w:r>
          </w:p>
          <w:p w14:paraId="40791E5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A.检测外观及安装质量，规格是否符合设计要求。</w:t>
            </w:r>
          </w:p>
          <w:p w14:paraId="75EB8F8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B.检测加压送风机运转功能及信号反馈功能。</w:t>
            </w:r>
          </w:p>
          <w:p w14:paraId="0810456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（3）加压送风口：</w:t>
            </w:r>
          </w:p>
          <w:p w14:paraId="241AE3C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A.检测加压送风口功能。</w:t>
            </w:r>
          </w:p>
          <w:p w14:paraId="45693FA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B.检测加压送风口风速是否小于7m/s，且不能为0 m/s。</w:t>
            </w:r>
          </w:p>
          <w:p w14:paraId="2F8FA2B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C.检测前室、防烟楼梯间余压值是否满足规范要求。</w:t>
            </w:r>
          </w:p>
          <w:p w14:paraId="0F26EC7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（4）排烟风机：</w:t>
            </w:r>
          </w:p>
          <w:p w14:paraId="7112106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A.检测外观及安装质量，规格是否符合设计要求。</w:t>
            </w:r>
          </w:p>
          <w:p w14:paraId="2B57F6E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B.检测排烟风机运转功能及信号反馈功能。</w:t>
            </w:r>
          </w:p>
          <w:p w14:paraId="2E8D3F8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（5）排烟口及排烟防火阀：</w:t>
            </w:r>
          </w:p>
          <w:p w14:paraId="2928202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A.检测排烟口及排烟防火阀动作及信号反馈功能。</w:t>
            </w:r>
          </w:p>
          <w:p w14:paraId="209EE24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B.检测排烟防火阀动作温度是否为280℃。</w:t>
            </w:r>
          </w:p>
          <w:p w14:paraId="030F758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C.检测排风口风速是否小于10m/s，不能为0 m/s，并且有明显的排烟效果。</w:t>
            </w:r>
          </w:p>
          <w:p w14:paraId="1897476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（6）空调、通风系统管道上的防火阀：</w:t>
            </w:r>
          </w:p>
          <w:p w14:paraId="61E36EE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检测空调、通风系统管道上的防火阀的设置位置是否满足规范及设计要求。</w:t>
            </w:r>
          </w:p>
          <w:p w14:paraId="1AA3EE6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（7）挡烟垂壁</w:t>
            </w:r>
          </w:p>
          <w:p w14:paraId="08C9875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A、检测挡烟垂壁的外观质量、安装位置和数量。</w:t>
            </w:r>
          </w:p>
          <w:p w14:paraId="331FB37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B、检测固定挡烟垂壁的设置。</w:t>
            </w:r>
          </w:p>
          <w:p w14:paraId="2C76671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C、检测活动挡烟垂壁的设置。</w:t>
            </w:r>
          </w:p>
          <w:p w14:paraId="191F54E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D、检测活动挡烟垂壁的下降高度。</w:t>
            </w:r>
          </w:p>
          <w:p w14:paraId="11300BF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E、检测活动挡烟垂壁的信号反馈功能</w:t>
            </w:r>
          </w:p>
          <w:p w14:paraId="2F829F7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1.2.6防火门系统</w:t>
            </w:r>
          </w:p>
          <w:p w14:paraId="45EF753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A.检测其外观、安装质量。</w:t>
            </w:r>
          </w:p>
          <w:p w14:paraId="14A2545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B.检测其合页、五金配件的安装。</w:t>
            </w:r>
          </w:p>
          <w:p w14:paraId="4CA9634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C.检测其闭门器安装及启闭性能。</w:t>
            </w:r>
          </w:p>
          <w:p w14:paraId="69BADF9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D.检测疏散通道的防火门是否具有能迅速关闭的功能，并关闭严密，不应锁死。双扇防火门应能按顺序关闭严密。</w:t>
            </w:r>
          </w:p>
          <w:p w14:paraId="1FF28F3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1.2.7防火卷帘系统</w:t>
            </w:r>
          </w:p>
          <w:p w14:paraId="4D47380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A.检测防火卷帘的外观、安装质量；</w:t>
            </w:r>
          </w:p>
          <w:p w14:paraId="30BA253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B.检测防火卷帘的升降平稳性、应急手动操作功能、布线情况：</w:t>
            </w:r>
          </w:p>
          <w:p w14:paraId="4525991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先用手动按钮下降防火卷帘，查看其升降平稳性，等防火卷帘下降到底，查看动作反馈信号，把防火卷帘复位，然后用应急操作机构检测防火卷帘是否能正常下降；</w:t>
            </w:r>
          </w:p>
          <w:p w14:paraId="50BBB07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C.检测用作防火分隔的防火卷帘：</w:t>
            </w:r>
          </w:p>
          <w:p w14:paraId="7550E77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先把火灾报警控制器设定在“自动”位置，现场触发一个感烟探测器，查看防火卷帘是否按设计要求一步降到底，并查看动作信号反馈；</w:t>
            </w:r>
          </w:p>
          <w:p w14:paraId="02B8230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D.检测作疏散通道上的防火卷帘：</w:t>
            </w:r>
          </w:p>
          <w:p w14:paraId="22128EE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先把火灾报警控制器设定在“自动”位置，现场触发一个感烟探器，查看防火卷帘是否按设计要求一步下降到中位，动作信号是否有反馈，下降到距地（楼）面1.8m后，现场再触发一个感温探测器，查看防火卷帘是否能下降到底，并有动作信号反馈。</w:t>
            </w:r>
          </w:p>
          <w:p w14:paraId="71E8F3E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1.2.8气体灭火系统</w:t>
            </w:r>
          </w:p>
          <w:p w14:paraId="07051EB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检测前把防护区内启动钢瓶或贮气瓶的启动信号线拆卸，并与万用表（万用表调节至直流电压档）连接，连接完后进行以下检测：</w:t>
            </w:r>
          </w:p>
          <w:p w14:paraId="119F960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A.检测灭火剂储存容器外观是否有变形、缺陷、手动操作装置有铅封，铭牌标识，充装量和压力、安装质量。</w:t>
            </w:r>
          </w:p>
          <w:p w14:paraId="03FF908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B.检测储存器液位储存量。</w:t>
            </w:r>
          </w:p>
          <w:p w14:paraId="0C1FB5E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C.检测启动瓶外观、颜色标志、安装质量、名称编号。</w:t>
            </w:r>
          </w:p>
          <w:p w14:paraId="1856E90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D.检测压力表外观、安装质量和方向。</w:t>
            </w:r>
          </w:p>
          <w:p w14:paraId="70930A7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E.集流管、单向阀的检测。</w:t>
            </w:r>
          </w:p>
          <w:p w14:paraId="6440570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F.检测防护区标志、报警设施、防护区门、穿楼板或防火墙管道与套管间隙处理、管网颜色、喷咀质量。</w:t>
            </w:r>
          </w:p>
          <w:p w14:paraId="7C72099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G.检测气体喷射前的延时时间：模拟火警使感烟探测器动作，接着感温探测器动作，形成“与门”报警信号，系统是否在30秒内正常动作。</w:t>
            </w:r>
          </w:p>
          <w:p w14:paraId="382076E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H.系统启动功能试验：系统功能正常，可靠地启动、喷射。</w:t>
            </w:r>
          </w:p>
          <w:p w14:paraId="05F6AF9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I.检测气体自动喷射有关组件显示：放气指示灯显示、切断火场电源、声光报警装置动作及信号反馈至消防控制中心等是否正常。</w:t>
            </w:r>
          </w:p>
          <w:p w14:paraId="6B4E615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J.防护区通风装置联动功能测试。</w:t>
            </w:r>
          </w:p>
          <w:p w14:paraId="601DD98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注意事项：检测前将所有启动气瓶电磁阀的启动线拆卸后，用绝缘胶布逐一包好，防止系统控制误动作。系统测试完后逐一确认系统复位正常后，方可恢复接线，防范系统再次动作。</w:t>
            </w:r>
          </w:p>
          <w:p w14:paraId="2995C7A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1.2.9建筑灭火器</w:t>
            </w:r>
          </w:p>
          <w:p w14:paraId="239A5DC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手提式灭火器﹑推车式灭火器：</w:t>
            </w:r>
          </w:p>
          <w:p w14:paraId="6D8A56D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（1）外观质量、标志，配置数量及设置地点是否符合规范要求。</w:t>
            </w:r>
          </w:p>
          <w:p w14:paraId="2779FB4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（2）检测充装压力范围及有效期是否符合规范要求。</w:t>
            </w:r>
          </w:p>
          <w:p w14:paraId="48F7206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（3）检测灭火器的最大保护距离是否符合规范要求</w:t>
            </w:r>
            <w:r>
              <w:rPr>
                <w:rFonts w:hint="eastAsia" w:asciiTheme="minorEastAsia" w:hAnsiTheme="minorEastAsia" w:eastAsiaTheme="minorEastAsia"/>
                <w:sz w:val="21"/>
                <w:szCs w:val="21"/>
              </w:rPr>
              <w:t>。</w:t>
            </w:r>
          </w:p>
          <w:p w14:paraId="3E02F96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p>
          <w:p w14:paraId="254665A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default" w:asciiTheme="minorEastAsia" w:hAnsiTheme="minorEastAsia" w:eastAsiaTheme="minorEastAsia"/>
                <w:b/>
                <w:bCs/>
                <w:sz w:val="21"/>
                <w:szCs w:val="21"/>
              </w:rPr>
              <w:t>1.3联动功能检测的内容及方法</w:t>
            </w:r>
          </w:p>
          <w:p w14:paraId="32712A8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1.3.1检测前准备</w:t>
            </w:r>
          </w:p>
          <w:p w14:paraId="48DAF86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A、联动前需书面文字出具告示：消防联动的时间、地点及注意事项</w:t>
            </w:r>
          </w:p>
          <w:p w14:paraId="77A50AA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B、联动前在消防控制室用广播通知检测区域的工作人员。（例如：各位工作人员请注意，现即将消防联动测试，听到警铃和火灾应急广播不要惊慌等）</w:t>
            </w:r>
          </w:p>
          <w:p w14:paraId="6A61806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C、防火卷帘底部禁止存放杂物，准备好防火卷帘启动复位按钮的钥匙。</w:t>
            </w:r>
          </w:p>
          <w:p w14:paraId="72D516D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D、火灾联动测试时，非消防电源会被切断，相关工作人员的电脑数据需及时存盘，以防丢失。</w:t>
            </w:r>
          </w:p>
          <w:p w14:paraId="23E4316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E、各系统消防水泵联动测试时，注意查看管网的压力，以免管道爆裂或漏水。</w:t>
            </w:r>
          </w:p>
          <w:p w14:paraId="4AFA0CA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F、末端试水测试时，注意排水保持持畅顺，以免水浸。</w:t>
            </w:r>
          </w:p>
          <w:p w14:paraId="7A01FAD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1.3.2火灾自动报警系统的联动检测（每层或每个防火分区各检测一次）</w:t>
            </w:r>
          </w:p>
          <w:p w14:paraId="23F4C1D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模拟火警信号使火灾探测器（或手动报警按钮）动作，检测联动下列设备情况：</w:t>
            </w:r>
          </w:p>
          <w:p w14:paraId="31BFC46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（1）警报设备：是否联动警铃动作及广播是否自动或手动切换至火灾应急广播状态；（任一楼层火警时，应能联动全栋楼层同时播放）；是否能切断有关部位的非消防电源。</w:t>
            </w:r>
          </w:p>
          <w:p w14:paraId="0E41882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（2）火灾确认后，消防控制室能否自动或手动将全部电梯强制停于首层，并能接受其反馈信号。</w:t>
            </w:r>
          </w:p>
          <w:p w14:paraId="3197B3B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（3）正压送风机是否启动，着火层及相邻上下层正压送风口及风阀是否自动开启。</w:t>
            </w:r>
          </w:p>
          <w:p w14:paraId="571C068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（4）排烟风机是否启动，排烟口及风阀是否自动开启。</w:t>
            </w:r>
          </w:p>
          <w:p w14:paraId="38535FB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（5）排烟风机的动作信号是否能及时反馈至消防控制室。</w:t>
            </w:r>
          </w:p>
          <w:p w14:paraId="0C5B28E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（6）应急灯、疏散指示标志灯是否能联动点亮。</w:t>
            </w:r>
          </w:p>
          <w:p w14:paraId="65BCE7F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（7）门禁系统和自动门系统的电源是否能自动切断，防火门能否自动关闭。</w:t>
            </w:r>
          </w:p>
          <w:p w14:paraId="58E892A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（8）各种设备的动作信号是否能及时反馈至消防控制室。</w:t>
            </w:r>
          </w:p>
          <w:p w14:paraId="44BD1B8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注意事项：消防控制室在确认火灾后，应能切断有关部位的非消防电源，启动建筑内的所有火灾声光警报器；联动控制信号强制所有电梯停于首层，启动相关区域的排烟风机、排烟口，联动控制相关区域的防火卷帘下降。联动测试上述设备时，应注意下列事项：</w:t>
            </w:r>
          </w:p>
          <w:p w14:paraId="08B0B35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A、非消防电源切断时测试，应提前布署检测技术人员至相关控制箱或脱扣控制开关的位置，以便及时恢复供电，以免造成恐慌。若现场不允许断电，应提前拔开相关继电器，查看启动控制信号能否正常。</w:t>
            </w:r>
          </w:p>
          <w:p w14:paraId="1B7BDF1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B、检测所有火灾声光警报器声响分贝时，应分散多人测试，快速完成，及时系统复位。以免造成长时间干扰。</w:t>
            </w:r>
          </w:p>
          <w:p w14:paraId="52D67DB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C、联动电梯迫降时，应提前布署检测技术人员至相关电梯处，告知工作人员不要乘坐电梯，以免电梯迫降时造成惊慌。在完成一次正常联动迫降测试后，可采用屏蔽或拔出相关继电器的方式后完成其他联动功能测试，以免造成长时间影响。</w:t>
            </w:r>
          </w:p>
          <w:p w14:paraId="0896AA9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D、防排烟系统联动时，应提前部署检测技术人员到相关区域的排烟风机、排烟口处，系统联动启动时，迅速查看相关设备能否正常动作，相关信号反馈是否正常。测试完毕后相关送风阀、排烟口及时复位，以免造成影响。</w:t>
            </w:r>
          </w:p>
          <w:p w14:paraId="3D0B23E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1.3.3室内消火栓系统联动启泵试验</w:t>
            </w:r>
          </w:p>
          <w:p w14:paraId="461D5A0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说明：手动破玻按钮消火栓系统联动试验，手动破玻按钮动作，检测是否联动启动消防水泵且信号反馈回消防控制室；查看其他相关相应消防设施能否正常启动及信号反馈。</w:t>
            </w:r>
          </w:p>
          <w:p w14:paraId="2793EA3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注意事项：室内消火栓泵联动时，应提前开启消火栓泵组出水管上的试验放水阀，以致水泵联动启动时系统管网水压回流至消防水池，避免管网超压造成爆裂。</w:t>
            </w:r>
          </w:p>
          <w:p w14:paraId="674BABA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1.3.4自动喷水灭火系统联动启泵试验</w:t>
            </w:r>
          </w:p>
          <w:p w14:paraId="24D80F7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说明：按每一个湿式报警阀所控制的区域最不利点做联动试验。</w:t>
            </w:r>
          </w:p>
          <w:p w14:paraId="6CB2B63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在各区测试末端放水装置，观察水流指示器、压力开关等动作信号确认是否反馈到消防控制室，水泵房水力警铃、消喷泵是否动作；测试在最不利点处末端放水阀,消喷主泵启动后,最不利点末端放水阀处压力表数值是否≥0.05MPa；查看其他相关相应消防设施能否正常启动及信号反馈。</w:t>
            </w:r>
          </w:p>
          <w:p w14:paraId="306AECB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注意事项：喷淋泵联动时，应保证末端试水装置处排水畅顺，系统动作水泵启动时快速查看压力表读数。提前安排检测技术人员在消防水泵房查看系统管网压力，系统启动后及时停泵，以免造成水浸或管网超压。</w:t>
            </w:r>
          </w:p>
          <w:p w14:paraId="270F099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1.3.5现场配合注意事项</w:t>
            </w:r>
          </w:p>
          <w:p w14:paraId="78AEC51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（1）为了保证检测能按计划时间完成，希望能得到采购方的全力配合，如人员、工具，并能及时打开房间门等。</w:t>
            </w:r>
          </w:p>
          <w:p w14:paraId="2E04CBB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（2）联动时间现场与采购方协商。（因为联动需要响警铃和启动有关设备，停止供应市电来启动后备电源，对正常的运作会有一定的影响，需采购方的全力协调）。</w:t>
            </w:r>
          </w:p>
          <w:p w14:paraId="505CAAE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以上仅是初步检测计划，具体安排视现场实际情况进一步深化计划内容。</w:t>
            </w:r>
          </w:p>
          <w:p w14:paraId="00B8C8C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1.3.6消防设施检测相关规范</w:t>
            </w:r>
          </w:p>
          <w:p w14:paraId="40C7D29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（1）建筑设计防火规范 GB50016-2014</w:t>
            </w:r>
          </w:p>
          <w:p w14:paraId="36BFE56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（2）建筑消防设施检测技术规程 GA503-2004</w:t>
            </w:r>
          </w:p>
          <w:p w14:paraId="78DB961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（3）消防给水及消火栓系统技术规范 GB50974-2014</w:t>
            </w:r>
          </w:p>
          <w:p w14:paraId="662A106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（4）火灾自动报警系统设计规范 GB50116-2013</w:t>
            </w:r>
          </w:p>
          <w:p w14:paraId="61C78E5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（5）火灾自动报警系统施工及验收规范 GB50166-20</w:t>
            </w:r>
            <w:r>
              <w:rPr>
                <w:rFonts w:hint="eastAsia" w:asciiTheme="minorEastAsia" w:hAnsiTheme="minorEastAsia" w:eastAsiaTheme="minorEastAsia"/>
                <w:sz w:val="21"/>
                <w:szCs w:val="21"/>
              </w:rPr>
              <w:t>19</w:t>
            </w:r>
          </w:p>
          <w:p w14:paraId="5363179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（6）火灾报警控制器 GB4717-2005</w:t>
            </w:r>
          </w:p>
          <w:p w14:paraId="2A36DF1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（7）建筑工程消防验收评定规则GA836-20</w:t>
            </w:r>
            <w:r>
              <w:rPr>
                <w:rFonts w:hint="eastAsia" w:asciiTheme="minorEastAsia" w:hAnsiTheme="minorEastAsia" w:eastAsiaTheme="minorEastAsia"/>
                <w:sz w:val="21"/>
                <w:szCs w:val="21"/>
              </w:rPr>
              <w:t>16</w:t>
            </w:r>
          </w:p>
          <w:p w14:paraId="428448D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（8）火灾显示盘 GB17429-2011</w:t>
            </w:r>
          </w:p>
          <w:p w14:paraId="3E8BC0F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（9）消防应急照明和疏散指示系统 GB17945-2010</w:t>
            </w:r>
          </w:p>
          <w:p w14:paraId="698B46B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（10）民用建筑电气设计规范 JGJ 16-2008</w:t>
            </w:r>
          </w:p>
          <w:p w14:paraId="36B5B88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（11）自动喷水灭火系统设计规范 GB50084-2001 [2005年版]</w:t>
            </w:r>
          </w:p>
          <w:p w14:paraId="72A770F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（12）自动喷水灭火系统施工及验收规范 GB50261-20</w:t>
            </w:r>
            <w:r>
              <w:rPr>
                <w:rFonts w:hint="eastAsia" w:asciiTheme="minorEastAsia" w:hAnsiTheme="minorEastAsia" w:eastAsiaTheme="minorEastAsia"/>
                <w:sz w:val="21"/>
                <w:szCs w:val="21"/>
              </w:rPr>
              <w:t>17</w:t>
            </w:r>
          </w:p>
          <w:p w14:paraId="7C46AD3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（13）通风与空调工程施工质量验收规范 GB50243-20</w:t>
            </w:r>
            <w:r>
              <w:rPr>
                <w:rFonts w:hint="eastAsia" w:asciiTheme="minorEastAsia" w:hAnsiTheme="minorEastAsia" w:eastAsiaTheme="minorEastAsia"/>
                <w:sz w:val="21"/>
                <w:szCs w:val="21"/>
              </w:rPr>
              <w:t>16</w:t>
            </w:r>
          </w:p>
          <w:p w14:paraId="398301E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（14）消防安全疏散标志设计、施工及验收规范 DBJ/T15-42-2005</w:t>
            </w:r>
          </w:p>
          <w:p w14:paraId="1A03CAA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（15）消防安全标志设置要求 GB15630-1995</w:t>
            </w:r>
          </w:p>
          <w:p w14:paraId="3A8B4D4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（16）消防联动控制系统 GB16806-2006</w:t>
            </w:r>
          </w:p>
          <w:p w14:paraId="4FC5808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（17）低压配电设计规范 GB50054-2011</w:t>
            </w:r>
          </w:p>
          <w:p w14:paraId="356374A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（18）建筑防火及消防设施检测技术规程 DBJ/T15-110-2015</w:t>
            </w:r>
          </w:p>
          <w:p w14:paraId="4CC8D51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（19）消防给水及消火栓系统技术规范 GB50974-2014</w:t>
            </w:r>
          </w:p>
          <w:p w14:paraId="5E2321E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p>
          <w:p w14:paraId="3414D8D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default" w:asciiTheme="minorEastAsia" w:hAnsiTheme="minorEastAsia" w:eastAsiaTheme="minorEastAsia"/>
                <w:b/>
                <w:bCs/>
                <w:sz w:val="21"/>
                <w:szCs w:val="21"/>
              </w:rPr>
              <w:t>2、消防安全评估工作内容</w:t>
            </w:r>
          </w:p>
          <w:p w14:paraId="7B39250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b/>
                <w:bCs/>
                <w:sz w:val="21"/>
                <w:szCs w:val="21"/>
              </w:rPr>
            </w:pPr>
            <w:r>
              <w:rPr>
                <w:rFonts w:hint="default" w:asciiTheme="minorEastAsia" w:hAnsiTheme="minorEastAsia" w:eastAsiaTheme="minorEastAsia"/>
                <w:b/>
                <w:bCs/>
                <w:sz w:val="21"/>
                <w:szCs w:val="21"/>
              </w:rPr>
              <w:t>2.1评估流程</w:t>
            </w:r>
          </w:p>
          <w:p w14:paraId="4706458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依据《广东省建筑消防安全评估标准》（DBJ/T15-144-2018）结合采购方实际情况，开展建筑消防安全评估工作：</w:t>
            </w:r>
          </w:p>
          <w:p w14:paraId="6885C45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1）分析建筑内可能存在的火灾危险源，合理划分评估单元，建立全面的评估指标体系。</w:t>
            </w:r>
          </w:p>
          <w:p w14:paraId="3E91DE0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2）对评估单元进行定性及定量分级，建立权重系统。</w:t>
            </w:r>
          </w:p>
          <w:p w14:paraId="6F4CEFA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3）对建筑的火灾风险作出客观公正的评估结论。</w:t>
            </w:r>
          </w:p>
          <w:p w14:paraId="121BEF6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sz w:val="21"/>
                <w:szCs w:val="21"/>
              </w:rPr>
            </w:pPr>
            <w:r>
              <w:rPr>
                <w:rFonts w:hint="default" w:asciiTheme="minorEastAsia" w:hAnsiTheme="minorEastAsia" w:eastAsiaTheme="minorEastAsia"/>
                <w:sz w:val="21"/>
                <w:szCs w:val="21"/>
              </w:rPr>
              <w:t>4）提出合理可行的消防安全对策及规划建议</w:t>
            </w:r>
            <w:r>
              <w:rPr>
                <w:rFonts w:hint="eastAsia" w:asciiTheme="minorEastAsia" w:hAnsiTheme="minorEastAsia" w:eastAsiaTheme="minorEastAsia"/>
                <w:sz w:val="21"/>
                <w:szCs w:val="21"/>
              </w:rPr>
              <w:t>。</w:t>
            </w:r>
          </w:p>
          <w:p w14:paraId="52EBE3D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drawing>
                <wp:inline distT="0" distB="0" distL="114300" distR="114300">
                  <wp:extent cx="4890135" cy="3260090"/>
                  <wp:effectExtent l="0" t="0" r="1905" b="1270"/>
                  <wp:docPr id="1" name="图片 1" descr="15878627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87862767(1)"/>
                          <pic:cNvPicPr>
                            <a:picLocks noChangeAspect="1"/>
                          </pic:cNvPicPr>
                        </pic:nvPicPr>
                        <pic:blipFill>
                          <a:blip r:embed="rId7"/>
                          <a:stretch>
                            <a:fillRect/>
                          </a:stretch>
                        </pic:blipFill>
                        <pic:spPr>
                          <a:xfrm>
                            <a:off x="0" y="0"/>
                            <a:ext cx="4890135" cy="3260090"/>
                          </a:xfrm>
                          <a:prstGeom prst="rect">
                            <a:avLst/>
                          </a:prstGeom>
                          <a:noFill/>
                          <a:ln>
                            <a:noFill/>
                          </a:ln>
                        </pic:spPr>
                      </pic:pic>
                    </a:graphicData>
                  </a:graphic>
                </wp:inline>
              </w:drawing>
            </w:r>
          </w:p>
          <w:p w14:paraId="04CD3A28">
            <w:pPr>
              <w:pStyle w:val="36"/>
              <w:keepNext w:val="0"/>
              <w:keepLines w:val="0"/>
              <w:suppressLineNumbers w:val="0"/>
              <w:spacing w:before="0" w:beforeAutospacing="0" w:after="0" w:afterAutospacing="0"/>
              <w:ind w:left="0" w:right="0" w:firstLine="0"/>
              <w:jc w:val="center"/>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图2-1：消防安全评估流程示意图</w:t>
            </w:r>
          </w:p>
          <w:p w14:paraId="043AB85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p>
          <w:p w14:paraId="09E0EDB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2.2评估内容及信息采集</w:t>
            </w:r>
          </w:p>
          <w:p w14:paraId="67981B6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开展具体工作之前，采购方应提供建筑或单位的基本信息，主要包括：</w:t>
            </w:r>
          </w:p>
          <w:p w14:paraId="6A7DB00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1）建筑类别、建筑高度、建筑层数、占地面积、建筑面积、建筑物投入使用时间；</w:t>
            </w:r>
          </w:p>
          <w:p w14:paraId="03756D2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2）建筑物是否有相关维保单位、建筑物三年内是否有进行第三方消防设施检测等基本情况；</w:t>
            </w:r>
          </w:p>
          <w:p w14:paraId="043BC8C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3）其所属上级主管单位、行业监管部门等。</w:t>
            </w:r>
          </w:p>
          <w:p w14:paraId="1C14806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4）建筑防火</w:t>
            </w:r>
          </w:p>
          <w:p w14:paraId="4EE6909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建筑防火是指在建筑设计中，根据建筑物的材质、结构、用途等，结合建筑物火灾时的着火特性，所采取的必要的建筑防火措施，包括主动的防火措施和被动的防火措施，是社会单位消防安全检查的重要组成部分。本项目建筑防火评估的主要内容包括：</w:t>
            </w:r>
          </w:p>
          <w:p w14:paraId="665D2B2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耐火等级及总平面布局；</w:t>
            </w:r>
          </w:p>
          <w:p w14:paraId="3FF52FB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防火间距</w:t>
            </w:r>
          </w:p>
          <w:p w14:paraId="7992586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防火分区；</w:t>
            </w:r>
          </w:p>
          <w:p w14:paraId="41DC92F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平面布置；</w:t>
            </w:r>
          </w:p>
          <w:p w14:paraId="10ABE8F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安全疏散及避难；</w:t>
            </w:r>
          </w:p>
          <w:p w14:paraId="5581FE3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电气防火；</w:t>
            </w:r>
          </w:p>
          <w:p w14:paraId="2CAF375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灭火救援；</w:t>
            </w:r>
          </w:p>
          <w:p w14:paraId="3CD98D4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室内外装修；</w:t>
            </w:r>
          </w:p>
          <w:p w14:paraId="5019465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通风和空气调节。</w:t>
            </w:r>
          </w:p>
          <w:p w14:paraId="61D58D3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5）消防设施与器材</w:t>
            </w:r>
          </w:p>
          <w:p w14:paraId="67184D8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建筑消防设施设备的主要作用是及时发现和扑救火灾、限制火灾蔓延范围，为有效地扑救火灾和人员疏散创造有利条件，从而减少由火灾造成的人员伤亡和财产损失，是现代建筑的重要组成部分。</w:t>
            </w:r>
          </w:p>
          <w:p w14:paraId="5A3EDB7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本项目是在获得现场消防设施设备检测数据的基础上，对消防系统运行的可靠性和有效性进行综合的评估。消防设施检测对象主要包括：</w:t>
            </w:r>
          </w:p>
          <w:p w14:paraId="62BEA7D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消防给水及消火栓系统；</w:t>
            </w:r>
          </w:p>
          <w:p w14:paraId="53154E1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自动灭火系统（包括自动喷水灭火系统；气体灭火系统等）；</w:t>
            </w:r>
          </w:p>
          <w:p w14:paraId="0424FA1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火灾自动报警系统；</w:t>
            </w:r>
          </w:p>
          <w:p w14:paraId="3E47D11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防排烟系统；</w:t>
            </w:r>
          </w:p>
          <w:p w14:paraId="7AA746B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消防电源及其配电；</w:t>
            </w:r>
          </w:p>
          <w:p w14:paraId="4957A1B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疏散指示标志及应急照明；</w:t>
            </w:r>
          </w:p>
          <w:p w14:paraId="678E93D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灭火器及其他消防器材；</w:t>
            </w:r>
          </w:p>
          <w:p w14:paraId="40D6CD5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6）消防安全管理</w:t>
            </w:r>
          </w:p>
          <w:p w14:paraId="10D82CE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消防安全管理过程就是从选择最佳消防安全目标开始到实现最佳消防安全目标的过程。其最佳目标就是在一定条件下，通过消防安全管理活动将火灾发生的危险性和火灾造成的危害性降低到最低限度。</w:t>
            </w:r>
          </w:p>
          <w:p w14:paraId="52239BD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本项目消防安全检查的目的就是在检查现有消防安全管理水平的基础上，帮助检查对象完善本单位的消防安全管理制度，并提出有效落实各消防安全管理制度的方法和流程，跟踪指导，帮助检查对象实现最佳的消防安全目标。本项目消防安全管理评估内容主要包括：</w:t>
            </w:r>
          </w:p>
          <w:p w14:paraId="76E1B12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消防行政审批；</w:t>
            </w:r>
          </w:p>
          <w:p w14:paraId="0C8A88F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消防安全组织；</w:t>
            </w:r>
          </w:p>
          <w:p w14:paraId="6BBE0BA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消防安全制度及操作规程；</w:t>
            </w:r>
          </w:p>
          <w:p w14:paraId="1210FB8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灭火和应急疏散预案及演练；</w:t>
            </w:r>
          </w:p>
          <w:p w14:paraId="43E953B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防火巡查、检查与隐患整改；</w:t>
            </w:r>
          </w:p>
          <w:p w14:paraId="4F5B33E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消防安全宣传教育培训。</w:t>
            </w:r>
          </w:p>
          <w:p w14:paraId="4A74F08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2.3评估依据</w:t>
            </w:r>
          </w:p>
          <w:p w14:paraId="2BA0058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消防相关法律法规及标准规范（包括但不限于）：</w:t>
            </w:r>
          </w:p>
          <w:p w14:paraId="1C9A417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1）《中华人民共和国消防法》（中华人民共和国主席令第二十九号）</w:t>
            </w:r>
          </w:p>
          <w:p w14:paraId="33D5E73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2）《国务院关于加强和改进消防工作的意见》（国发〔2011〕46号）</w:t>
            </w:r>
          </w:p>
          <w:p w14:paraId="042B593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3）《机关、团体、企业、事业单位消防安全管理规定》（公安部令第61号）</w:t>
            </w:r>
          </w:p>
          <w:p w14:paraId="1A104DF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4）《消防监督检查规定》（公安部令第120号）</w:t>
            </w:r>
          </w:p>
          <w:p w14:paraId="3AE18B9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5）《重大火灾隐患判定方法》（GB35181-2017）</w:t>
            </w:r>
          </w:p>
          <w:p w14:paraId="42A105C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6）《广东省建筑消防安全评估标准》（DBJ/T15-144-2018）</w:t>
            </w:r>
          </w:p>
          <w:p w14:paraId="39899EF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7）《人员密集场所消防安全管理》（GA654-2006）</w:t>
            </w:r>
          </w:p>
          <w:p w14:paraId="57EC813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8）《建筑防火设计规范》（GB 50016 -2014（2018年版））</w:t>
            </w:r>
          </w:p>
          <w:p w14:paraId="744EBDA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9）粤办函〔2016〕96号广东省人民政府办公厅关于印发广东省消防安全重点单位管理规定的通知 </w:t>
            </w:r>
          </w:p>
          <w:p w14:paraId="4BC2FD2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10）粤府办〔2014〕10号广东省人民政府办公厅关于印发广东省火灾高危单位消防安全管理规定的通知</w:t>
            </w:r>
          </w:p>
          <w:p w14:paraId="4CBC374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11）《建筑消防设施检测技术规程》（GA 503-2004）</w:t>
            </w:r>
          </w:p>
          <w:p w14:paraId="3560A71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12）《建筑防火及消防设施检测技术规程》（广东省标准）（DBJ/T 15-110-2015）</w:t>
            </w:r>
          </w:p>
          <w:p w14:paraId="7E173CD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13）《火灾自动报警系统设计规范》（GB 50116-2013）</w:t>
            </w:r>
          </w:p>
          <w:p w14:paraId="40BF947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14）《消防给水及消火栓系统技术规范》（GB50974-2014）</w:t>
            </w:r>
          </w:p>
          <w:p w14:paraId="0ED3DCC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15）《消防应急照明和疏散指示系统》（GB 17945-2010）</w:t>
            </w:r>
          </w:p>
          <w:p w14:paraId="41E01A2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16）《建筑灭火器配置设计规范》（GB 50140-2005）</w:t>
            </w:r>
          </w:p>
          <w:p w14:paraId="004608F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17）《建筑电气防火检测技术规程》（广东省标准）（DBJ/T15-138-2018）</w:t>
            </w:r>
          </w:p>
          <w:p w14:paraId="301E519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18）《建筑内部装修设计防火规范》（GB50222-2017）</w:t>
            </w:r>
          </w:p>
          <w:p w14:paraId="42C26F5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19）《气体灭火系统设计规范》（GB50370-2005）</w:t>
            </w:r>
          </w:p>
          <w:p w14:paraId="458EF2A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20）《自动喷水灭火系统设计规范》（GB 50084-2017）</w:t>
            </w:r>
          </w:p>
          <w:p w14:paraId="3F18081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21）  其他相关资料</w:t>
            </w:r>
          </w:p>
          <w:p w14:paraId="63B33CE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2.4实施步骤</w:t>
            </w:r>
          </w:p>
          <w:p w14:paraId="39D1D4B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2.4.1、评估对象的确认与前期准备工作</w:t>
            </w:r>
          </w:p>
          <w:p w14:paraId="33B6D40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1）明确评估对象和评估范围；</w:t>
            </w:r>
          </w:p>
          <w:p w14:paraId="1E72265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2）收集并分析排查对象的基础资料；</w:t>
            </w:r>
          </w:p>
          <w:p w14:paraId="16771EC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3）收集消防相关法律法规、标准规范。</w:t>
            </w:r>
          </w:p>
          <w:p w14:paraId="4F57EFA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2.4.2火灾危险源与火灾隐患辨识与分析</w:t>
            </w:r>
          </w:p>
          <w:p w14:paraId="3AC979A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1）通过现场检查检测，辨识火灾危险源因素；</w:t>
            </w:r>
          </w:p>
          <w:p w14:paraId="4DB4AC4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2）分析火灾危险源因素发生作用的途径及其变化规律。</w:t>
            </w:r>
          </w:p>
          <w:p w14:paraId="31D5EBD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2.4.3检查和检测单元的划分</w:t>
            </w:r>
          </w:p>
          <w:p w14:paraId="08190F0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结合评估对象的特点，以基本功能分区、危险因素分布及状况划分检查和检测单元，同时兼顾到实施排查工作的方便性。</w:t>
            </w:r>
          </w:p>
          <w:p w14:paraId="5597158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2.4.4开展现场检查检测及结果分析并给出消防安全存在问题</w:t>
            </w:r>
          </w:p>
          <w:p w14:paraId="2CD58E1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1）检测现有消防设施的完好性；</w:t>
            </w:r>
          </w:p>
          <w:p w14:paraId="44D7007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2）检测现有消防系统的运行状态及可靠性；</w:t>
            </w:r>
          </w:p>
          <w:p w14:paraId="2214CBC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3）检查现有消防安全组织机构、管理制度的建立情况；</w:t>
            </w:r>
          </w:p>
          <w:p w14:paraId="2D7AB26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4）检查现有消防安全管理制度的执行效果；</w:t>
            </w:r>
          </w:p>
          <w:p w14:paraId="4D4E90CD">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5）问询员工消防安全知识掌握情况；</w:t>
            </w:r>
          </w:p>
          <w:p w14:paraId="68595EB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6）给出评估发现的消防安全存在的问题等。</w:t>
            </w:r>
          </w:p>
          <w:p w14:paraId="1257293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2.4.5提出消防安全对策、措施及建议</w:t>
            </w:r>
          </w:p>
          <w:p w14:paraId="71BF026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对评估对象的消防安全建设方面提出相应的消防安全对策、措施及建议。</w:t>
            </w:r>
          </w:p>
          <w:p w14:paraId="3E0359C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2.4.6出具消防安全评估报告</w:t>
            </w:r>
          </w:p>
          <w:p w14:paraId="4417ABE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p>
          <w:p w14:paraId="1FD1D22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3.安全质量技术措施</w:t>
            </w:r>
          </w:p>
          <w:p w14:paraId="2180D5C7">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3.1检测安全保证措施</w:t>
            </w:r>
          </w:p>
          <w:p w14:paraId="0C5F721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3.1.1检测工作开展前落实安全活动：成交供应商组织检测技术员进行安全交底，说明注意事项及防护措施，包括本项目的重点和难点、作业存在的危险因素、岗位的危险点。着重强调各项联动测试应有保障措施、防止因联动测试造成停产、喷水等意外发生等等。检测技术员进场检测前，要穿戴好劳动防护用品，如穿劳保鞋、戴安全帽等。</w:t>
            </w:r>
          </w:p>
          <w:p w14:paraId="19E2147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3.1.2成交供应商应将当天的检测区域、检测系统、检测项目等，事前与采购方的有关负责人商量沟通，达成共识，以便双方顺利配合，确保检测过程中的人身安全。</w:t>
            </w:r>
          </w:p>
          <w:p w14:paraId="025AC03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3.1.3在检测过程中必须保证有采购方的人员配合，并听从其人员的具体安排，做到“三不”原则：不影响现场生产作业；不具备条件的检测项目（点）不检测；不了解其检测项目（点）的不检测。</w:t>
            </w:r>
          </w:p>
          <w:p w14:paraId="5CBD535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3.1.4检测区域内消防设备的操作，应坚持安全第一，采购方配合人员对检测区域内的消防设备进行相应的操作，负责操作自带的检测仪器。当采购方无配合人员进行相应操作，征得同意并允许我方操作时，我方可进行操作，但必须要有采购方人员在旁监护。</w:t>
            </w:r>
          </w:p>
          <w:p w14:paraId="49527EFC">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3.1.5检测过程中安全注意事项：</w:t>
            </w:r>
          </w:p>
          <w:p w14:paraId="3497884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A.检测技术人员严格遵守采购方规定，不准乱动乱走，非检测区域严禁进入，与检测无关的设备（设施）绝不能动。</w:t>
            </w:r>
          </w:p>
          <w:p w14:paraId="4467CEC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B.当检测的项目需要放水时，须观察排水地漏或排水管情况，若排水不顺畅，应立即停止放水，如排水管未接入地漏，需用合适管道接上排水管后才进行试验，以免造成作业区域内物品的水浸等损害。</w:t>
            </w:r>
          </w:p>
          <w:p w14:paraId="329AEAF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C.如有部分高空火灾探测器的测试，除了采取超长测试设备操作的办法外，应配备相应的梯子或移动式平台等登高设备，并注意人员高空作业可能造成的站立不稳而跌落的事故发生。2m高度以上的作业需要使用的梯子或移动式平台等登高设备请采购方协助提供。高空作业要佩戴安全带、安全帽，其作业架必须牢固可靠。每次使用前，必须检查，确认可靠才可使用，现场必须有同伴监护，即做到一人登高作业，一人在旁监护。</w:t>
            </w:r>
          </w:p>
          <w:p w14:paraId="40BE3A4A">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D.检测前以书面的方式提前通知场内人员，并在测试前用广播等形式通知大家，以免造成不必要的慌乱。</w:t>
            </w:r>
          </w:p>
          <w:p w14:paraId="1E9DD7B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E.进行系统联动和在测试双电源末端切换装置前应提前知会采购方，请采购方通知有关人员做好停电措施。</w:t>
            </w:r>
          </w:p>
          <w:p w14:paraId="5D41795F">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F.检测技术人员要防止触电、电灼等事故（危险）的发生。在用移动电缆盘时，要先关断电源开关再插或拔插头；测试双电源转换及切断非消防电源时，要关上柜（箱）门再进行相应操作。</w:t>
            </w:r>
          </w:p>
          <w:p w14:paraId="6F67884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3.2检测质量保证措施</w:t>
            </w:r>
          </w:p>
          <w:p w14:paraId="2715C954">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成交供应商保证检测工作判断独立性与真实性，并有措施保证不受来自各方面的不良压力，确保检测的公正性。</w:t>
            </w:r>
          </w:p>
          <w:p w14:paraId="2D7DDEB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成交供应商遵守相关的法律法规，承担服务中的义务和责任。</w:t>
            </w:r>
          </w:p>
          <w:p w14:paraId="5E2FB012">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3.2.1检测质量目标：</w:t>
            </w:r>
          </w:p>
          <w:p w14:paraId="59D82D1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（1）最终测试报告数据或结论性差错为0。</w:t>
            </w:r>
          </w:p>
          <w:p w14:paraId="13BDF709">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（2）仪器设备完好率达100%。</w:t>
            </w:r>
          </w:p>
          <w:p w14:paraId="59310D7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（3）及时提供检测报告。</w:t>
            </w:r>
          </w:p>
          <w:p w14:paraId="36C2E49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（4）提供优质服务，及时处理客户诉求。</w:t>
            </w:r>
          </w:p>
          <w:p w14:paraId="2164191E">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3.2.2检测现场的质量监督：</w:t>
            </w:r>
          </w:p>
          <w:p w14:paraId="01E11268">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成交供应商应督促检测技术员对仪器设备的有效性进行检查，并对重点项目进行监督；按计划要求对影响检测质量的各个环节进行监督，如对仪器设备、人员操作、环境条件、检测方法、检测数据等进行监督抽查（重点对检测现场进行监督抽查），并将监督抽查结果填写《质量监督记录表》，以确保检测数据的可靠性。</w:t>
            </w:r>
          </w:p>
          <w:p w14:paraId="13F38995">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（2）如监督发现检测质量有偏差现象，应立刻进行分析解决，确保现场检测质量得到有效控制和检测数据的准确性；对在检测中出现不符合规范项，应立即与采购方沟通协调整改。</w:t>
            </w:r>
          </w:p>
          <w:p w14:paraId="3A132913">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（3）质量安全监督工作和要求必须严格按照检测计划内细则，严防错检、漏检现象发生。</w:t>
            </w:r>
          </w:p>
          <w:p w14:paraId="5F2B58C6">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p>
          <w:p w14:paraId="7CAF3971">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4.故障解决</w:t>
            </w:r>
          </w:p>
          <w:p w14:paraId="178064B0">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成交供应商在检测期间，应制定应急预案以检修、处理、排除消防系统、设施设备可能出现的故障，对一般故障的抢修，成交供应商应在2小时内完成。对紧急故障的抢修，成交供应商应立即组织抢修，迅速排除故障，迅速恢复正常使用。如无法及时恢复故障的，因此而引起的事故的一切责任由成交供应商负责(不可抗拒的自然灾害引起的事故除外)。成交供应商如无法及时排除故障，因此而引起的事故的一切责任由成交供应商负责。</w:t>
            </w:r>
          </w:p>
          <w:p w14:paraId="7998E3DB">
            <w:pPr>
              <w:pStyle w:val="36"/>
              <w:keepNext w:val="0"/>
              <w:keepLines w:val="0"/>
              <w:suppressLineNumbers w:val="0"/>
              <w:spacing w:before="0" w:beforeAutospacing="0" w:after="0" w:afterAutospacing="0"/>
              <w:ind w:left="0" w:right="0" w:firstLine="0"/>
              <w:rPr>
                <w:rFonts w:hint="default" w:asciiTheme="minorEastAsia" w:hAnsiTheme="minorEastAsia" w:eastAsiaTheme="minorEastAsia" w:cstheme="minorEastAsia"/>
                <w:bCs/>
                <w:sz w:val="21"/>
                <w:szCs w:val="21"/>
              </w:rPr>
            </w:pPr>
          </w:p>
        </w:tc>
      </w:tr>
      <w:tr w14:paraId="5246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4" w:hRule="atLeast"/>
          <w:jc w:val="center"/>
        </w:trPr>
        <w:tc>
          <w:tcPr>
            <w:tcW w:w="356" w:type="pct"/>
            <w:vAlign w:val="center"/>
          </w:tcPr>
          <w:p w14:paraId="49FFEF4F">
            <w:pPr>
              <w:keepNext w:val="0"/>
              <w:keepLines w:val="0"/>
              <w:suppressLineNumbers w:val="0"/>
              <w:spacing w:before="0" w:beforeAutospacing="0" w:after="0" w:afterAutospacing="0"/>
              <w:ind w:left="0" w:right="0"/>
              <w:jc w:val="center"/>
              <w:rPr>
                <w:rFonts w:hint="default" w:asciiTheme="minorEastAsia" w:hAnsiTheme="minorEastAsia"/>
                <w:szCs w:val="21"/>
              </w:rPr>
            </w:pPr>
          </w:p>
        </w:tc>
        <w:tc>
          <w:tcPr>
            <w:tcW w:w="297" w:type="pct"/>
            <w:vAlign w:val="center"/>
          </w:tcPr>
          <w:p w14:paraId="25AE2299">
            <w:pPr>
              <w:pStyle w:val="36"/>
              <w:keepNext w:val="0"/>
              <w:keepLines w:val="0"/>
              <w:suppressLineNumbers w:val="0"/>
              <w:spacing w:before="0" w:beforeAutospacing="0" w:after="0" w:afterAutospacing="0"/>
              <w:ind w:left="49" w:right="0" w:firstLine="0"/>
              <w:jc w:val="center"/>
              <w:rPr>
                <w:rFonts w:hint="default" w:asciiTheme="minorEastAsia" w:hAnsiTheme="minorEastAsia" w:eastAsiaTheme="minorEastAsia"/>
                <w:sz w:val="21"/>
                <w:szCs w:val="21"/>
              </w:rPr>
            </w:pPr>
            <w:r>
              <w:rPr>
                <w:rFonts w:hint="eastAsia" w:asciiTheme="minorEastAsia" w:hAnsiTheme="minorEastAsia" w:eastAsiaTheme="minorEastAsia"/>
                <w:sz w:val="21"/>
                <w:szCs w:val="21"/>
              </w:rPr>
              <w:t>2</w:t>
            </w:r>
          </w:p>
        </w:tc>
        <w:tc>
          <w:tcPr>
            <w:tcW w:w="4346" w:type="pct"/>
            <w:vAlign w:val="center"/>
          </w:tcPr>
          <w:p w14:paraId="501C8A22">
            <w:pPr>
              <w:keepNext w:val="0"/>
              <w:keepLines w:val="0"/>
              <w:suppressLineNumbers w:val="0"/>
              <w:spacing w:before="0" w:beforeAutospacing="0" w:after="0" w:afterAutospacing="0"/>
              <w:ind w:left="0" w:right="0"/>
              <w:rPr>
                <w:rFonts w:hint="default" w:asciiTheme="minorEastAsia" w:hAnsiTheme="minorEastAsia"/>
                <w:b/>
                <w:spacing w:val="3"/>
                <w:szCs w:val="21"/>
              </w:rPr>
            </w:pPr>
            <w:r>
              <w:rPr>
                <w:rFonts w:hint="eastAsia" w:asciiTheme="minorEastAsia" w:hAnsiTheme="minorEastAsia"/>
                <w:b/>
                <w:spacing w:val="3"/>
                <w:szCs w:val="21"/>
              </w:rPr>
              <w:t>二、报价方式</w:t>
            </w:r>
          </w:p>
          <w:p w14:paraId="00D9B836">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1.本项目以项目内容进行分项报价，各分项报价之和即视为项目总报价。</w:t>
            </w:r>
          </w:p>
          <w:p w14:paraId="1A91998D">
            <w:pPr>
              <w:keepNext w:val="0"/>
              <w:keepLines w:val="0"/>
              <w:suppressLineNumbers w:val="0"/>
              <w:spacing w:before="0" w:beforeAutospacing="0" w:after="0" w:afterAutospacing="0"/>
              <w:ind w:left="0" w:right="0"/>
              <w:rPr>
                <w:rFonts w:hint="default" w:asciiTheme="minorEastAsia" w:hAnsiTheme="minorEastAsia"/>
                <w:bCs/>
                <w:spacing w:val="3"/>
                <w:szCs w:val="21"/>
              </w:rPr>
            </w:pPr>
            <w:r>
              <w:rPr>
                <w:rFonts w:hint="default" w:asciiTheme="minorEastAsia" w:hAnsiTheme="minorEastAsia"/>
                <w:bCs/>
                <w:spacing w:val="3"/>
                <w:szCs w:val="21"/>
              </w:rPr>
              <w:t>★2.</w:t>
            </w:r>
            <w:r>
              <w:rPr>
                <w:rFonts w:hint="eastAsia" w:asciiTheme="minorEastAsia" w:hAnsiTheme="minorEastAsia"/>
                <w:bCs/>
                <w:spacing w:val="3"/>
                <w:szCs w:val="21"/>
              </w:rPr>
              <w:t>供应商</w:t>
            </w:r>
            <w:r>
              <w:rPr>
                <w:rFonts w:hint="default" w:asciiTheme="minorEastAsia" w:hAnsiTheme="minorEastAsia"/>
                <w:bCs/>
                <w:spacing w:val="3"/>
                <w:szCs w:val="21"/>
              </w:rPr>
              <w:t>须按照《报价明细表》要求进行各部分的明细报价，所报价格不可超过最高限价。</w:t>
            </w:r>
            <w:r>
              <w:rPr>
                <w:rFonts w:hint="eastAsia" w:asciiTheme="minorEastAsia" w:hAnsiTheme="minorEastAsia"/>
                <w:bCs/>
                <w:spacing w:val="3"/>
                <w:szCs w:val="21"/>
                <w:lang w:eastAsia="zh-CN"/>
              </w:rPr>
              <w:t>报价</w:t>
            </w:r>
            <w:r>
              <w:rPr>
                <w:rFonts w:hint="eastAsia" w:asciiTheme="minorEastAsia" w:hAnsiTheme="minorEastAsia"/>
                <w:bCs/>
                <w:szCs w:val="21"/>
              </w:rPr>
              <w:t>时按以下报价明细表格式进行报价，</w:t>
            </w:r>
            <w:r>
              <w:rPr>
                <w:rFonts w:hint="default" w:asciiTheme="minorEastAsia" w:hAnsiTheme="minorEastAsia"/>
                <w:bCs/>
                <w:szCs w:val="21"/>
              </w:rPr>
              <w:t>“项目总报价”与</w:t>
            </w:r>
            <w:r>
              <w:rPr>
                <w:rFonts w:hint="eastAsia" w:asciiTheme="minorEastAsia" w:hAnsiTheme="minorEastAsia"/>
                <w:bCs/>
                <w:szCs w:val="21"/>
                <w:lang w:eastAsia="zh-CN"/>
              </w:rPr>
              <w:t>报价</w:t>
            </w:r>
            <w:r>
              <w:rPr>
                <w:rFonts w:hint="default" w:asciiTheme="minorEastAsia" w:hAnsiTheme="minorEastAsia"/>
                <w:bCs/>
                <w:szCs w:val="21"/>
              </w:rPr>
              <w:t>客户端填写的总报价一致，否则按无效</w:t>
            </w:r>
            <w:r>
              <w:rPr>
                <w:rFonts w:hint="eastAsia" w:asciiTheme="minorEastAsia" w:hAnsiTheme="minorEastAsia"/>
                <w:bCs/>
                <w:szCs w:val="21"/>
                <w:lang w:eastAsia="zh-CN"/>
              </w:rPr>
              <w:t>报价</w:t>
            </w:r>
            <w:r>
              <w:rPr>
                <w:rFonts w:hint="default" w:asciiTheme="minorEastAsia" w:hAnsiTheme="minorEastAsia"/>
                <w:bCs/>
                <w:szCs w:val="21"/>
              </w:rPr>
              <w:t>处理</w:t>
            </w:r>
            <w:r>
              <w:rPr>
                <w:rFonts w:hint="eastAsia" w:asciiTheme="minorEastAsia" w:hAnsiTheme="minorEastAsia"/>
                <w:bCs/>
                <w:szCs w:val="21"/>
              </w:rPr>
              <w:t>。</w:t>
            </w:r>
          </w:p>
          <w:p w14:paraId="39D07CEC">
            <w:pPr>
              <w:keepNext w:val="0"/>
              <w:keepLines w:val="0"/>
              <w:suppressLineNumbers w:val="0"/>
              <w:spacing w:before="0" w:beforeAutospacing="0" w:after="0" w:afterAutospacing="0"/>
              <w:ind w:left="0" w:right="0"/>
              <w:jc w:val="center"/>
              <w:rPr>
                <w:rFonts w:hint="default" w:asciiTheme="minorEastAsia" w:hAnsiTheme="minorEastAsia"/>
                <w:b/>
                <w:spacing w:val="3"/>
                <w:szCs w:val="21"/>
              </w:rPr>
            </w:pPr>
            <w:r>
              <w:rPr>
                <w:rFonts w:hint="default" w:asciiTheme="minorEastAsia" w:hAnsiTheme="minorEastAsia"/>
                <w:b/>
                <w:spacing w:val="3"/>
                <w:szCs w:val="21"/>
              </w:rPr>
              <w:t>报价明细表</w:t>
            </w:r>
          </w:p>
          <w:tbl>
            <w:tblPr>
              <w:tblStyle w:val="17"/>
              <w:tblW w:w="78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6"/>
              <w:gridCol w:w="874"/>
              <w:gridCol w:w="820"/>
              <w:gridCol w:w="1564"/>
              <w:gridCol w:w="1564"/>
            </w:tblGrid>
            <w:tr w14:paraId="11CE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6" w:type="dxa"/>
                  <w:vAlign w:val="center"/>
                </w:tcPr>
                <w:p w14:paraId="28CD50F9">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r>
                    <w:rPr>
                      <w:rFonts w:hint="eastAsia" w:asciiTheme="minorEastAsia" w:hAnsiTheme="minorEastAsia"/>
                      <w:b/>
                      <w:szCs w:val="21"/>
                    </w:rPr>
                    <w:t>标的名称</w:t>
                  </w:r>
                </w:p>
              </w:tc>
              <w:tc>
                <w:tcPr>
                  <w:tcW w:w="874" w:type="dxa"/>
                  <w:vAlign w:val="center"/>
                </w:tcPr>
                <w:p w14:paraId="08F60CE6">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r>
                    <w:rPr>
                      <w:rFonts w:hint="eastAsia" w:asciiTheme="minorEastAsia" w:hAnsiTheme="minorEastAsia"/>
                      <w:b/>
                      <w:szCs w:val="21"/>
                    </w:rPr>
                    <w:t>单位</w:t>
                  </w:r>
                </w:p>
              </w:tc>
              <w:tc>
                <w:tcPr>
                  <w:tcW w:w="820" w:type="dxa"/>
                  <w:vAlign w:val="center"/>
                </w:tcPr>
                <w:p w14:paraId="4DD9E9CA">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r>
                    <w:rPr>
                      <w:rFonts w:hint="eastAsia" w:asciiTheme="minorEastAsia" w:hAnsiTheme="minorEastAsia"/>
                      <w:b/>
                      <w:szCs w:val="21"/>
                    </w:rPr>
                    <w:t>数量</w:t>
                  </w:r>
                </w:p>
              </w:tc>
              <w:tc>
                <w:tcPr>
                  <w:tcW w:w="1564" w:type="dxa"/>
                  <w:vAlign w:val="center"/>
                </w:tcPr>
                <w:p w14:paraId="36BA3279">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r>
                    <w:rPr>
                      <w:rFonts w:hint="eastAsia" w:asciiTheme="minorEastAsia" w:hAnsiTheme="minorEastAsia"/>
                      <w:b/>
                      <w:szCs w:val="21"/>
                    </w:rPr>
                    <w:t>分项单价报价（元）</w:t>
                  </w:r>
                </w:p>
              </w:tc>
              <w:tc>
                <w:tcPr>
                  <w:tcW w:w="1564" w:type="dxa"/>
                  <w:vAlign w:val="center"/>
                </w:tcPr>
                <w:p w14:paraId="2DC48F69">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r>
                    <w:rPr>
                      <w:rFonts w:hint="eastAsia" w:asciiTheme="minorEastAsia" w:hAnsiTheme="minorEastAsia"/>
                      <w:b/>
                      <w:szCs w:val="21"/>
                    </w:rPr>
                    <w:t>分项总价报价（元）</w:t>
                  </w:r>
                </w:p>
              </w:tc>
            </w:tr>
            <w:tr w14:paraId="2619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6" w:type="dxa"/>
                  <w:vAlign w:val="center"/>
                </w:tcPr>
                <w:p w14:paraId="1AD09852">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r>
                    <w:rPr>
                      <w:rFonts w:hint="eastAsia" w:asciiTheme="minorEastAsia" w:hAnsiTheme="minorEastAsia" w:cstheme="minorEastAsia"/>
                      <w:szCs w:val="21"/>
                    </w:rPr>
                    <w:t>广州市</w:t>
                  </w:r>
                  <w:r>
                    <w:rPr>
                      <w:rFonts w:hint="eastAsia" w:asciiTheme="minorEastAsia" w:hAnsiTheme="minorEastAsia" w:cstheme="minorEastAsia"/>
                      <w:szCs w:val="21"/>
                      <w:lang w:eastAsia="zh-CN"/>
                    </w:rPr>
                    <w:t>广州医科大学附属番禺中心医院</w:t>
                  </w:r>
                  <w:r>
                    <w:rPr>
                      <w:rFonts w:hint="eastAsia" w:asciiTheme="minorEastAsia" w:hAnsiTheme="minorEastAsia" w:cstheme="minorEastAsia"/>
                      <w:szCs w:val="21"/>
                    </w:rPr>
                    <w:t>（含区府门诊、药物维持点）消防年度检测、安全评估服务</w:t>
                  </w:r>
                </w:p>
              </w:tc>
              <w:tc>
                <w:tcPr>
                  <w:tcW w:w="874" w:type="dxa"/>
                  <w:vAlign w:val="center"/>
                </w:tcPr>
                <w:p w14:paraId="623E0EC1">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r>
                    <w:rPr>
                      <w:rFonts w:hint="eastAsia" w:asciiTheme="minorEastAsia" w:hAnsiTheme="minorEastAsia"/>
                      <w:bCs/>
                      <w:szCs w:val="21"/>
                    </w:rPr>
                    <w:t>年</w:t>
                  </w:r>
                </w:p>
              </w:tc>
              <w:tc>
                <w:tcPr>
                  <w:tcW w:w="820" w:type="dxa"/>
                  <w:vAlign w:val="center"/>
                </w:tcPr>
                <w:p w14:paraId="78BA0800">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r>
                    <w:rPr>
                      <w:rFonts w:hint="eastAsia" w:asciiTheme="minorEastAsia" w:hAnsiTheme="minorEastAsia"/>
                      <w:bCs/>
                      <w:szCs w:val="21"/>
                    </w:rPr>
                    <w:t>2</w:t>
                  </w:r>
                </w:p>
              </w:tc>
              <w:tc>
                <w:tcPr>
                  <w:tcW w:w="1564" w:type="dxa"/>
                  <w:vAlign w:val="center"/>
                </w:tcPr>
                <w:p w14:paraId="6DC747A1">
                  <w:pPr>
                    <w:keepNext w:val="0"/>
                    <w:keepLines w:val="0"/>
                    <w:widowControl/>
                    <w:suppressLineNumbers w:val="0"/>
                    <w:spacing w:before="0" w:beforeAutospacing="0" w:after="0" w:afterAutospacing="0" w:line="240" w:lineRule="auto"/>
                    <w:ind w:left="0" w:right="0"/>
                    <w:jc w:val="center"/>
                    <w:textAlignment w:val="center"/>
                    <w:rPr>
                      <w:rFonts w:hint="default" w:asciiTheme="minorEastAsia" w:hAnsiTheme="minorEastAsia"/>
                      <w:bCs/>
                      <w:spacing w:val="3"/>
                      <w:szCs w:val="21"/>
                    </w:rPr>
                  </w:pPr>
                </w:p>
              </w:tc>
              <w:tc>
                <w:tcPr>
                  <w:tcW w:w="1564" w:type="dxa"/>
                  <w:vAlign w:val="center"/>
                </w:tcPr>
                <w:p w14:paraId="37D5C943">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p>
              </w:tc>
            </w:tr>
            <w:tr w14:paraId="51BB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6" w:type="dxa"/>
                  <w:vAlign w:val="center"/>
                </w:tcPr>
                <w:p w14:paraId="3D7CB35F">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r>
                    <w:rPr>
                      <w:rFonts w:hint="eastAsia" w:asciiTheme="minorEastAsia" w:hAnsiTheme="minorEastAsia" w:cstheme="minorEastAsia"/>
                      <w:szCs w:val="21"/>
                    </w:rPr>
                    <w:t>广州市番禺区第七人民医院消防年度检测、安全评估服务</w:t>
                  </w:r>
                </w:p>
              </w:tc>
              <w:tc>
                <w:tcPr>
                  <w:tcW w:w="874" w:type="dxa"/>
                  <w:vAlign w:val="center"/>
                </w:tcPr>
                <w:p w14:paraId="1E49FE92">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r>
                    <w:rPr>
                      <w:rFonts w:hint="eastAsia" w:asciiTheme="minorEastAsia" w:hAnsiTheme="minorEastAsia"/>
                      <w:bCs/>
                      <w:szCs w:val="21"/>
                    </w:rPr>
                    <w:t>年</w:t>
                  </w:r>
                </w:p>
              </w:tc>
              <w:tc>
                <w:tcPr>
                  <w:tcW w:w="820" w:type="dxa"/>
                  <w:vAlign w:val="center"/>
                </w:tcPr>
                <w:p w14:paraId="2C2EAE86">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r>
                    <w:rPr>
                      <w:rFonts w:hint="eastAsia" w:asciiTheme="minorEastAsia" w:hAnsiTheme="minorEastAsia"/>
                      <w:bCs/>
                      <w:szCs w:val="21"/>
                    </w:rPr>
                    <w:t>2</w:t>
                  </w:r>
                </w:p>
              </w:tc>
              <w:tc>
                <w:tcPr>
                  <w:tcW w:w="1564" w:type="dxa"/>
                  <w:vAlign w:val="center"/>
                </w:tcPr>
                <w:p w14:paraId="29940B9D">
                  <w:pPr>
                    <w:keepNext w:val="0"/>
                    <w:keepLines w:val="0"/>
                    <w:widowControl/>
                    <w:suppressLineNumbers w:val="0"/>
                    <w:spacing w:before="0" w:beforeAutospacing="0" w:after="0" w:afterAutospacing="0" w:line="240" w:lineRule="auto"/>
                    <w:ind w:left="0" w:right="0"/>
                    <w:jc w:val="center"/>
                    <w:textAlignment w:val="center"/>
                    <w:rPr>
                      <w:rFonts w:hint="default" w:asciiTheme="minorEastAsia" w:hAnsiTheme="minorEastAsia"/>
                      <w:bCs/>
                      <w:spacing w:val="3"/>
                      <w:szCs w:val="21"/>
                    </w:rPr>
                  </w:pPr>
                </w:p>
              </w:tc>
              <w:tc>
                <w:tcPr>
                  <w:tcW w:w="1564" w:type="dxa"/>
                  <w:vAlign w:val="center"/>
                </w:tcPr>
                <w:p w14:paraId="7F7F28ED">
                  <w:pPr>
                    <w:keepNext w:val="0"/>
                    <w:keepLines w:val="0"/>
                    <w:suppressLineNumbers w:val="0"/>
                    <w:spacing w:before="0" w:beforeAutospacing="0" w:after="0" w:afterAutospacing="0" w:line="240" w:lineRule="auto"/>
                    <w:ind w:left="0" w:right="0"/>
                    <w:jc w:val="center"/>
                    <w:rPr>
                      <w:rFonts w:hint="default" w:asciiTheme="minorEastAsia" w:hAnsiTheme="minorEastAsia"/>
                      <w:bCs/>
                      <w:spacing w:val="3"/>
                      <w:szCs w:val="21"/>
                    </w:rPr>
                  </w:pPr>
                </w:p>
              </w:tc>
            </w:tr>
            <w:tr w14:paraId="35BF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4" w:type="dxa"/>
                  <w:gridSpan w:val="4"/>
                  <w:vAlign w:val="center"/>
                </w:tcPr>
                <w:p w14:paraId="0AE5E7D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Cs w:val="21"/>
                    </w:rPr>
                  </w:pPr>
                  <w:r>
                    <w:rPr>
                      <w:rFonts w:hint="default" w:asciiTheme="minorEastAsia" w:hAnsiTheme="minorEastAsia"/>
                      <w:b/>
                      <w:spacing w:val="3"/>
                      <w:szCs w:val="21"/>
                    </w:rPr>
                    <w:t>项目总报价</w:t>
                  </w:r>
                </w:p>
              </w:tc>
              <w:tc>
                <w:tcPr>
                  <w:tcW w:w="1564" w:type="dxa"/>
                  <w:vAlign w:val="center"/>
                </w:tcPr>
                <w:p w14:paraId="1164FD49">
                  <w:pPr>
                    <w:keepNext w:val="0"/>
                    <w:keepLines w:val="0"/>
                    <w:suppressLineNumbers w:val="0"/>
                    <w:spacing w:before="0" w:beforeAutospacing="0" w:after="0" w:afterAutospacing="0" w:line="240" w:lineRule="auto"/>
                    <w:ind w:left="0" w:right="0"/>
                    <w:jc w:val="center"/>
                    <w:rPr>
                      <w:rFonts w:hint="default" w:asciiTheme="minorEastAsia" w:hAnsiTheme="minorEastAsia" w:cstheme="minorEastAsia"/>
                      <w:szCs w:val="21"/>
                    </w:rPr>
                  </w:pPr>
                </w:p>
              </w:tc>
            </w:tr>
          </w:tbl>
          <w:p w14:paraId="25A2FE63">
            <w:pPr>
              <w:keepNext w:val="0"/>
              <w:keepLines w:val="0"/>
              <w:suppressLineNumbers w:val="0"/>
              <w:spacing w:before="0" w:beforeAutospacing="0" w:after="0" w:afterAutospacing="0"/>
              <w:ind w:left="0" w:right="0"/>
              <w:rPr>
                <w:rFonts w:hint="default" w:asciiTheme="minorEastAsia" w:hAnsiTheme="minorEastAsia"/>
                <w:bCs/>
                <w:spacing w:val="3"/>
                <w:szCs w:val="21"/>
              </w:rPr>
            </w:pPr>
          </w:p>
        </w:tc>
      </w:tr>
    </w:tbl>
    <w:p w14:paraId="5F505867">
      <w:pPr>
        <w:rPr>
          <w:rFonts w:asciiTheme="minorEastAsia" w:hAnsiTheme="minorEastAsia"/>
          <w:szCs w:val="21"/>
        </w:rPr>
      </w:pPr>
    </w:p>
    <w:p w14:paraId="193CDE6A">
      <w:pPr>
        <w:rPr>
          <w:rFonts w:asciiTheme="minorEastAsia" w:hAnsiTheme="minorEastAsia"/>
          <w:szCs w:val="21"/>
        </w:rPr>
      </w:pPr>
      <w:r>
        <w:rPr>
          <w:rFonts w:hint="eastAsia" w:asciiTheme="minorEastAsia" w:hAnsiTheme="minorEastAsia"/>
          <w:szCs w:val="21"/>
        </w:rPr>
        <w:br w:type="page"/>
      </w:r>
    </w:p>
    <w:p w14:paraId="10D1B90D">
      <w:pPr>
        <w:pStyle w:val="23"/>
        <w:ind w:firstLine="210"/>
      </w:pPr>
    </w:p>
    <w:sectPr>
      <w:footerReference r:id="rId5" w:type="default"/>
      <w:type w:val="continuous"/>
      <w:pgSz w:w="11906" w:h="16838"/>
      <w:pgMar w:top="1440" w:right="1440" w:bottom="1440" w:left="1440" w:header="851" w:footer="992" w:gutter="0"/>
      <w:pgNumType w:start="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inherit">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E7A05">
    <w:pPr>
      <w:pStyle w:val="11"/>
      <w:pBdr>
        <w:top w:val="single" w:color="auto" w:sz="4" w:space="1"/>
      </w:pBdr>
      <w:ind w:left="4153" w:hanging="4153"/>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2B2B1"/>
    <w:multiLevelType w:val="singleLevel"/>
    <w:tmpl w:val="C4B2B2B1"/>
    <w:lvl w:ilvl="0" w:tentative="0">
      <w:start w:val="1"/>
      <w:numFmt w:val="chineseCounting"/>
      <w:suff w:val="nothing"/>
      <w:lvlText w:val="%1、"/>
      <w:lvlJc w:val="left"/>
      <w:rPr>
        <w:rFonts w:hint="eastAsia"/>
      </w:rPr>
    </w:lvl>
  </w:abstractNum>
  <w:abstractNum w:abstractNumId="1">
    <w:nsid w:val="C919A21F"/>
    <w:multiLevelType w:val="singleLevel"/>
    <w:tmpl w:val="C919A21F"/>
    <w:lvl w:ilvl="0" w:tentative="0">
      <w:start w:val="1"/>
      <w:numFmt w:val="chineseCounting"/>
      <w:suff w:val="nothing"/>
      <w:lvlText w:val="（%1）"/>
      <w:lvlJc w:val="left"/>
      <w:rPr>
        <w:rFonts w:hint="eastAsia"/>
      </w:rPr>
    </w:lvl>
  </w:abstractNum>
  <w:abstractNum w:abstractNumId="2">
    <w:nsid w:val="2E6103E6"/>
    <w:multiLevelType w:val="multilevel"/>
    <w:tmpl w:val="2E6103E6"/>
    <w:lvl w:ilvl="0" w:tentative="0">
      <w:start w:val="1"/>
      <w:numFmt w:val="chineseCountingThousand"/>
      <w:suff w:val="nothing"/>
      <w:lvlText w:val="(%1)"/>
      <w:lvlJc w:val="left"/>
      <w:pPr>
        <w:ind w:left="840" w:hanging="420"/>
      </w:pPr>
      <w:rPr>
        <w:rFonts w:hint="default"/>
      </w:rPr>
    </w:lvl>
    <w:lvl w:ilvl="1" w:tentative="0">
      <w:start w:val="1"/>
      <w:numFmt w:val="decimal"/>
      <w:suff w:val="nothing"/>
      <w:lvlText w:val="%2、"/>
      <w:lvlJc w:val="left"/>
      <w:pPr>
        <w:ind w:left="562" w:hanging="420"/>
      </w:pPr>
      <w:rPr>
        <w:rFonts w:hint="default"/>
      </w:rPr>
    </w:lvl>
    <w:lvl w:ilvl="2" w:tentative="0">
      <w:start w:val="1"/>
      <w:numFmt w:val="japaneseCounting"/>
      <w:lvlText w:val="%3、"/>
      <w:lvlJc w:val="left"/>
      <w:pPr>
        <w:ind w:left="1710" w:hanging="450"/>
      </w:pPr>
      <w:rPr>
        <w:rFonts w:hint="default"/>
      </w:r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_x000a_@_x000a_꽾꾡꾮꿙꿭뀙냆냲넑넪녛ā##癥ā_x000a__x000a_癥癥ā++癥ā振癥ā,,癥ā­­俹癥ā,,왞癥ā㳃_x000a_癥ā댨癥ā  ⦍_x000a_癥艆Ā耀䶚剦꣍剦꣍"/>
    <w:docVar w:name="KGWebUrl" w:val="http://10.2.240.65:8888/seeyon/officeservlet"/>
  </w:docVars>
  <w:rsids>
    <w:rsidRoot w:val="00172A27"/>
    <w:rsid w:val="0000286E"/>
    <w:rsid w:val="000073B1"/>
    <w:rsid w:val="0001130E"/>
    <w:rsid w:val="00015D60"/>
    <w:rsid w:val="000213FA"/>
    <w:rsid w:val="00021424"/>
    <w:rsid w:val="0002395E"/>
    <w:rsid w:val="000251B5"/>
    <w:rsid w:val="00025D44"/>
    <w:rsid w:val="000302DE"/>
    <w:rsid w:val="00034754"/>
    <w:rsid w:val="00036BB0"/>
    <w:rsid w:val="00037329"/>
    <w:rsid w:val="00050DC2"/>
    <w:rsid w:val="00066EC4"/>
    <w:rsid w:val="00072546"/>
    <w:rsid w:val="00087C1D"/>
    <w:rsid w:val="00097792"/>
    <w:rsid w:val="0009797A"/>
    <w:rsid w:val="000A2E70"/>
    <w:rsid w:val="000B0084"/>
    <w:rsid w:val="000B1397"/>
    <w:rsid w:val="000B6D3E"/>
    <w:rsid w:val="000C19AA"/>
    <w:rsid w:val="000D5C81"/>
    <w:rsid w:val="000D7510"/>
    <w:rsid w:val="000D769C"/>
    <w:rsid w:val="000E2624"/>
    <w:rsid w:val="000E2701"/>
    <w:rsid w:val="000E4694"/>
    <w:rsid w:val="000F1422"/>
    <w:rsid w:val="000F1481"/>
    <w:rsid w:val="001159C9"/>
    <w:rsid w:val="001416B5"/>
    <w:rsid w:val="0014355F"/>
    <w:rsid w:val="001476DB"/>
    <w:rsid w:val="00153DEC"/>
    <w:rsid w:val="00155376"/>
    <w:rsid w:val="00156360"/>
    <w:rsid w:val="00160CB2"/>
    <w:rsid w:val="00167FD9"/>
    <w:rsid w:val="00172A27"/>
    <w:rsid w:val="00172F83"/>
    <w:rsid w:val="00182750"/>
    <w:rsid w:val="00185483"/>
    <w:rsid w:val="00191B11"/>
    <w:rsid w:val="00195089"/>
    <w:rsid w:val="001A08C5"/>
    <w:rsid w:val="001A0A28"/>
    <w:rsid w:val="001A2746"/>
    <w:rsid w:val="001A56C2"/>
    <w:rsid w:val="001A659F"/>
    <w:rsid w:val="001A73C7"/>
    <w:rsid w:val="001B5A29"/>
    <w:rsid w:val="001C1D8A"/>
    <w:rsid w:val="001C5ABE"/>
    <w:rsid w:val="001E10DC"/>
    <w:rsid w:val="001E262A"/>
    <w:rsid w:val="001E4615"/>
    <w:rsid w:val="001E62C9"/>
    <w:rsid w:val="001F2448"/>
    <w:rsid w:val="001F70B9"/>
    <w:rsid w:val="0020183D"/>
    <w:rsid w:val="00202DC1"/>
    <w:rsid w:val="002106BA"/>
    <w:rsid w:val="00210E96"/>
    <w:rsid w:val="00214A10"/>
    <w:rsid w:val="00224C5D"/>
    <w:rsid w:val="00246E37"/>
    <w:rsid w:val="0025077F"/>
    <w:rsid w:val="00256E9B"/>
    <w:rsid w:val="002577D4"/>
    <w:rsid w:val="0026005B"/>
    <w:rsid w:val="0026024A"/>
    <w:rsid w:val="00260511"/>
    <w:rsid w:val="00261CAB"/>
    <w:rsid w:val="00262556"/>
    <w:rsid w:val="00267925"/>
    <w:rsid w:val="0028382F"/>
    <w:rsid w:val="00283E90"/>
    <w:rsid w:val="00294B06"/>
    <w:rsid w:val="00294F7A"/>
    <w:rsid w:val="002A071E"/>
    <w:rsid w:val="002A4103"/>
    <w:rsid w:val="002B1DCF"/>
    <w:rsid w:val="002B4564"/>
    <w:rsid w:val="002B468D"/>
    <w:rsid w:val="002C0876"/>
    <w:rsid w:val="002C72F9"/>
    <w:rsid w:val="002D1322"/>
    <w:rsid w:val="002D3B2D"/>
    <w:rsid w:val="002D3BD1"/>
    <w:rsid w:val="002D4F86"/>
    <w:rsid w:val="002D6054"/>
    <w:rsid w:val="002D7D63"/>
    <w:rsid w:val="002E2365"/>
    <w:rsid w:val="002E2C87"/>
    <w:rsid w:val="002E5212"/>
    <w:rsid w:val="002F3FBF"/>
    <w:rsid w:val="002F502C"/>
    <w:rsid w:val="00300603"/>
    <w:rsid w:val="0030310A"/>
    <w:rsid w:val="00303512"/>
    <w:rsid w:val="00305237"/>
    <w:rsid w:val="0030741C"/>
    <w:rsid w:val="003113B8"/>
    <w:rsid w:val="003167E1"/>
    <w:rsid w:val="00316CFA"/>
    <w:rsid w:val="00316D3B"/>
    <w:rsid w:val="00317928"/>
    <w:rsid w:val="003201D9"/>
    <w:rsid w:val="0032082C"/>
    <w:rsid w:val="00325856"/>
    <w:rsid w:val="00330E51"/>
    <w:rsid w:val="0033451A"/>
    <w:rsid w:val="00341877"/>
    <w:rsid w:val="00344B20"/>
    <w:rsid w:val="003466FC"/>
    <w:rsid w:val="0035119B"/>
    <w:rsid w:val="003577FA"/>
    <w:rsid w:val="003622FA"/>
    <w:rsid w:val="00366AEA"/>
    <w:rsid w:val="003719AB"/>
    <w:rsid w:val="00374551"/>
    <w:rsid w:val="00381C82"/>
    <w:rsid w:val="00386CA3"/>
    <w:rsid w:val="0039356D"/>
    <w:rsid w:val="00396D7F"/>
    <w:rsid w:val="003A075A"/>
    <w:rsid w:val="003A6D24"/>
    <w:rsid w:val="003B4248"/>
    <w:rsid w:val="003C08F0"/>
    <w:rsid w:val="003C3831"/>
    <w:rsid w:val="003C7A21"/>
    <w:rsid w:val="003D46D1"/>
    <w:rsid w:val="003D5FEE"/>
    <w:rsid w:val="003D61ED"/>
    <w:rsid w:val="003E2E07"/>
    <w:rsid w:val="003F32A0"/>
    <w:rsid w:val="003F4534"/>
    <w:rsid w:val="003F5930"/>
    <w:rsid w:val="004042BF"/>
    <w:rsid w:val="0040663B"/>
    <w:rsid w:val="00410B50"/>
    <w:rsid w:val="004166CE"/>
    <w:rsid w:val="00420895"/>
    <w:rsid w:val="00424278"/>
    <w:rsid w:val="00424F1C"/>
    <w:rsid w:val="00425D2D"/>
    <w:rsid w:val="00435A31"/>
    <w:rsid w:val="0043717B"/>
    <w:rsid w:val="004417D2"/>
    <w:rsid w:val="0044346B"/>
    <w:rsid w:val="00453312"/>
    <w:rsid w:val="0045684F"/>
    <w:rsid w:val="00465F40"/>
    <w:rsid w:val="00467046"/>
    <w:rsid w:val="0047402D"/>
    <w:rsid w:val="004811DE"/>
    <w:rsid w:val="0048213D"/>
    <w:rsid w:val="004857C0"/>
    <w:rsid w:val="00494BE4"/>
    <w:rsid w:val="00496326"/>
    <w:rsid w:val="004A17DF"/>
    <w:rsid w:val="004B425C"/>
    <w:rsid w:val="004B7CFF"/>
    <w:rsid w:val="004C00BD"/>
    <w:rsid w:val="004C078E"/>
    <w:rsid w:val="004C1A00"/>
    <w:rsid w:val="004C5309"/>
    <w:rsid w:val="004D3C25"/>
    <w:rsid w:val="004E18A3"/>
    <w:rsid w:val="004E1E82"/>
    <w:rsid w:val="004E4B84"/>
    <w:rsid w:val="004F23ED"/>
    <w:rsid w:val="004F4537"/>
    <w:rsid w:val="004F5693"/>
    <w:rsid w:val="004F7BF8"/>
    <w:rsid w:val="00503B7B"/>
    <w:rsid w:val="0051487E"/>
    <w:rsid w:val="005216D7"/>
    <w:rsid w:val="00522E40"/>
    <w:rsid w:val="0052579F"/>
    <w:rsid w:val="005333E7"/>
    <w:rsid w:val="005336AC"/>
    <w:rsid w:val="00535A77"/>
    <w:rsid w:val="005363C7"/>
    <w:rsid w:val="005370DB"/>
    <w:rsid w:val="005410ED"/>
    <w:rsid w:val="00543396"/>
    <w:rsid w:val="00552764"/>
    <w:rsid w:val="00557A42"/>
    <w:rsid w:val="00557D67"/>
    <w:rsid w:val="005605C3"/>
    <w:rsid w:val="0056551C"/>
    <w:rsid w:val="00571128"/>
    <w:rsid w:val="00573867"/>
    <w:rsid w:val="00581E86"/>
    <w:rsid w:val="00581F76"/>
    <w:rsid w:val="0058302F"/>
    <w:rsid w:val="00587A07"/>
    <w:rsid w:val="00594D51"/>
    <w:rsid w:val="005B254F"/>
    <w:rsid w:val="005B6519"/>
    <w:rsid w:val="005C1EE6"/>
    <w:rsid w:val="005D38A7"/>
    <w:rsid w:val="005D3CF8"/>
    <w:rsid w:val="005D53FF"/>
    <w:rsid w:val="005E36EB"/>
    <w:rsid w:val="005E7137"/>
    <w:rsid w:val="005F3A06"/>
    <w:rsid w:val="006066A5"/>
    <w:rsid w:val="00611640"/>
    <w:rsid w:val="006126A5"/>
    <w:rsid w:val="00613C3F"/>
    <w:rsid w:val="00624985"/>
    <w:rsid w:val="006341E2"/>
    <w:rsid w:val="00635975"/>
    <w:rsid w:val="006373EA"/>
    <w:rsid w:val="00642D19"/>
    <w:rsid w:val="00642F06"/>
    <w:rsid w:val="006529F3"/>
    <w:rsid w:val="006551F1"/>
    <w:rsid w:val="00657CF4"/>
    <w:rsid w:val="006642C8"/>
    <w:rsid w:val="00664B59"/>
    <w:rsid w:val="00670219"/>
    <w:rsid w:val="0067190C"/>
    <w:rsid w:val="00676D41"/>
    <w:rsid w:val="00677727"/>
    <w:rsid w:val="00677978"/>
    <w:rsid w:val="006850DF"/>
    <w:rsid w:val="00686B43"/>
    <w:rsid w:val="006A3221"/>
    <w:rsid w:val="006A3FDF"/>
    <w:rsid w:val="006A675A"/>
    <w:rsid w:val="006B549B"/>
    <w:rsid w:val="006B5C3D"/>
    <w:rsid w:val="006D5B9D"/>
    <w:rsid w:val="006E094B"/>
    <w:rsid w:val="006E0FA1"/>
    <w:rsid w:val="006E1181"/>
    <w:rsid w:val="006E2B44"/>
    <w:rsid w:val="006E462C"/>
    <w:rsid w:val="006F093E"/>
    <w:rsid w:val="006F3606"/>
    <w:rsid w:val="006F57EF"/>
    <w:rsid w:val="006F7E76"/>
    <w:rsid w:val="0071046F"/>
    <w:rsid w:val="00715EC5"/>
    <w:rsid w:val="007213D0"/>
    <w:rsid w:val="00722CB2"/>
    <w:rsid w:val="00722FD5"/>
    <w:rsid w:val="00724131"/>
    <w:rsid w:val="00724F80"/>
    <w:rsid w:val="00732D38"/>
    <w:rsid w:val="007367CC"/>
    <w:rsid w:val="0074485A"/>
    <w:rsid w:val="00746304"/>
    <w:rsid w:val="007507C5"/>
    <w:rsid w:val="00751E23"/>
    <w:rsid w:val="007528A5"/>
    <w:rsid w:val="007548A4"/>
    <w:rsid w:val="00754EB1"/>
    <w:rsid w:val="00762D7A"/>
    <w:rsid w:val="00766B6D"/>
    <w:rsid w:val="0077319D"/>
    <w:rsid w:val="00781543"/>
    <w:rsid w:val="0078523B"/>
    <w:rsid w:val="0079368F"/>
    <w:rsid w:val="007A1919"/>
    <w:rsid w:val="007A2B8A"/>
    <w:rsid w:val="007A2F27"/>
    <w:rsid w:val="007C4040"/>
    <w:rsid w:val="007C5D95"/>
    <w:rsid w:val="007C79FE"/>
    <w:rsid w:val="007D460E"/>
    <w:rsid w:val="007D7D0E"/>
    <w:rsid w:val="007E2B4D"/>
    <w:rsid w:val="007E380E"/>
    <w:rsid w:val="007E612A"/>
    <w:rsid w:val="007E7C72"/>
    <w:rsid w:val="007F365C"/>
    <w:rsid w:val="0080181B"/>
    <w:rsid w:val="00801BD9"/>
    <w:rsid w:val="00811532"/>
    <w:rsid w:val="008131D3"/>
    <w:rsid w:val="00816917"/>
    <w:rsid w:val="0082756C"/>
    <w:rsid w:val="00831A7E"/>
    <w:rsid w:val="00835A09"/>
    <w:rsid w:val="008375ED"/>
    <w:rsid w:val="00842EB0"/>
    <w:rsid w:val="00843617"/>
    <w:rsid w:val="008478AE"/>
    <w:rsid w:val="00857B40"/>
    <w:rsid w:val="00866740"/>
    <w:rsid w:val="00867EA5"/>
    <w:rsid w:val="00871616"/>
    <w:rsid w:val="008726E8"/>
    <w:rsid w:val="0088229B"/>
    <w:rsid w:val="00884167"/>
    <w:rsid w:val="00886A6A"/>
    <w:rsid w:val="00887373"/>
    <w:rsid w:val="00887D42"/>
    <w:rsid w:val="00890849"/>
    <w:rsid w:val="00894B3A"/>
    <w:rsid w:val="008A0344"/>
    <w:rsid w:val="008A7C19"/>
    <w:rsid w:val="008B2542"/>
    <w:rsid w:val="008B2C22"/>
    <w:rsid w:val="008C76C9"/>
    <w:rsid w:val="008C7D9B"/>
    <w:rsid w:val="008D092F"/>
    <w:rsid w:val="008D3D93"/>
    <w:rsid w:val="008D4E05"/>
    <w:rsid w:val="008D4F54"/>
    <w:rsid w:val="008E0D24"/>
    <w:rsid w:val="008E23CF"/>
    <w:rsid w:val="008F461A"/>
    <w:rsid w:val="008F622A"/>
    <w:rsid w:val="0090180C"/>
    <w:rsid w:val="0090267B"/>
    <w:rsid w:val="00906478"/>
    <w:rsid w:val="009132F9"/>
    <w:rsid w:val="0091588C"/>
    <w:rsid w:val="00917580"/>
    <w:rsid w:val="00921F15"/>
    <w:rsid w:val="00922496"/>
    <w:rsid w:val="00923DDD"/>
    <w:rsid w:val="00924463"/>
    <w:rsid w:val="00924A8C"/>
    <w:rsid w:val="00925CE7"/>
    <w:rsid w:val="00925FB3"/>
    <w:rsid w:val="009344C7"/>
    <w:rsid w:val="00934DE5"/>
    <w:rsid w:val="00941C0D"/>
    <w:rsid w:val="00943050"/>
    <w:rsid w:val="00946A51"/>
    <w:rsid w:val="00947C94"/>
    <w:rsid w:val="009538FD"/>
    <w:rsid w:val="00962726"/>
    <w:rsid w:val="00963A45"/>
    <w:rsid w:val="009641A4"/>
    <w:rsid w:val="00967189"/>
    <w:rsid w:val="00971A9D"/>
    <w:rsid w:val="009722AD"/>
    <w:rsid w:val="00976125"/>
    <w:rsid w:val="00980482"/>
    <w:rsid w:val="00982A9F"/>
    <w:rsid w:val="009856FE"/>
    <w:rsid w:val="00986235"/>
    <w:rsid w:val="009917E2"/>
    <w:rsid w:val="009934E9"/>
    <w:rsid w:val="009A1433"/>
    <w:rsid w:val="009A29C1"/>
    <w:rsid w:val="009A6CA0"/>
    <w:rsid w:val="009B2FC3"/>
    <w:rsid w:val="009B4248"/>
    <w:rsid w:val="009B6B87"/>
    <w:rsid w:val="009C173C"/>
    <w:rsid w:val="009D1A51"/>
    <w:rsid w:val="009D4945"/>
    <w:rsid w:val="009E4A23"/>
    <w:rsid w:val="009E6737"/>
    <w:rsid w:val="009E7A5B"/>
    <w:rsid w:val="009F1704"/>
    <w:rsid w:val="009F607B"/>
    <w:rsid w:val="00A038EE"/>
    <w:rsid w:val="00A11A49"/>
    <w:rsid w:val="00A130DE"/>
    <w:rsid w:val="00A1455E"/>
    <w:rsid w:val="00A22024"/>
    <w:rsid w:val="00A22E87"/>
    <w:rsid w:val="00A25CBD"/>
    <w:rsid w:val="00A26D29"/>
    <w:rsid w:val="00A27D12"/>
    <w:rsid w:val="00A27ED0"/>
    <w:rsid w:val="00A36C8D"/>
    <w:rsid w:val="00A37C57"/>
    <w:rsid w:val="00A41D49"/>
    <w:rsid w:val="00A42E64"/>
    <w:rsid w:val="00A53D80"/>
    <w:rsid w:val="00A56B76"/>
    <w:rsid w:val="00A62ABD"/>
    <w:rsid w:val="00A66914"/>
    <w:rsid w:val="00A73E53"/>
    <w:rsid w:val="00A74F52"/>
    <w:rsid w:val="00A91945"/>
    <w:rsid w:val="00AA55E1"/>
    <w:rsid w:val="00AB5CB3"/>
    <w:rsid w:val="00AD12E1"/>
    <w:rsid w:val="00AD5824"/>
    <w:rsid w:val="00AE0444"/>
    <w:rsid w:val="00AE13E9"/>
    <w:rsid w:val="00AF3220"/>
    <w:rsid w:val="00AF6543"/>
    <w:rsid w:val="00AF73C6"/>
    <w:rsid w:val="00B060C7"/>
    <w:rsid w:val="00B11317"/>
    <w:rsid w:val="00B12D8A"/>
    <w:rsid w:val="00B13A2C"/>
    <w:rsid w:val="00B142A1"/>
    <w:rsid w:val="00B1617A"/>
    <w:rsid w:val="00B21DE3"/>
    <w:rsid w:val="00B224EC"/>
    <w:rsid w:val="00B22F8B"/>
    <w:rsid w:val="00B23161"/>
    <w:rsid w:val="00B40B76"/>
    <w:rsid w:val="00B438E8"/>
    <w:rsid w:val="00B4480F"/>
    <w:rsid w:val="00B52896"/>
    <w:rsid w:val="00B53F5C"/>
    <w:rsid w:val="00B54D0F"/>
    <w:rsid w:val="00B609F0"/>
    <w:rsid w:val="00B61EBE"/>
    <w:rsid w:val="00B725D7"/>
    <w:rsid w:val="00B946C0"/>
    <w:rsid w:val="00BA3922"/>
    <w:rsid w:val="00BA3D82"/>
    <w:rsid w:val="00BB0B7F"/>
    <w:rsid w:val="00BB33EB"/>
    <w:rsid w:val="00BB7253"/>
    <w:rsid w:val="00BC7BDD"/>
    <w:rsid w:val="00BD0067"/>
    <w:rsid w:val="00BD414C"/>
    <w:rsid w:val="00BE444B"/>
    <w:rsid w:val="00BE6533"/>
    <w:rsid w:val="00BF265C"/>
    <w:rsid w:val="00BF4A3C"/>
    <w:rsid w:val="00C02984"/>
    <w:rsid w:val="00C05F30"/>
    <w:rsid w:val="00C06126"/>
    <w:rsid w:val="00C0704C"/>
    <w:rsid w:val="00C11845"/>
    <w:rsid w:val="00C2013C"/>
    <w:rsid w:val="00C20783"/>
    <w:rsid w:val="00C23ED4"/>
    <w:rsid w:val="00C24332"/>
    <w:rsid w:val="00C31229"/>
    <w:rsid w:val="00C320E4"/>
    <w:rsid w:val="00C32572"/>
    <w:rsid w:val="00C33477"/>
    <w:rsid w:val="00C46E9A"/>
    <w:rsid w:val="00C5212C"/>
    <w:rsid w:val="00C53E51"/>
    <w:rsid w:val="00C618F9"/>
    <w:rsid w:val="00C6255A"/>
    <w:rsid w:val="00C63B5F"/>
    <w:rsid w:val="00C66675"/>
    <w:rsid w:val="00C71CCE"/>
    <w:rsid w:val="00C75E88"/>
    <w:rsid w:val="00C7658E"/>
    <w:rsid w:val="00C7734F"/>
    <w:rsid w:val="00C83E4D"/>
    <w:rsid w:val="00C850FA"/>
    <w:rsid w:val="00C91129"/>
    <w:rsid w:val="00CA7349"/>
    <w:rsid w:val="00CB2E19"/>
    <w:rsid w:val="00CB3E0A"/>
    <w:rsid w:val="00CB4117"/>
    <w:rsid w:val="00CB4387"/>
    <w:rsid w:val="00CB521D"/>
    <w:rsid w:val="00CB7968"/>
    <w:rsid w:val="00CD0678"/>
    <w:rsid w:val="00CD500E"/>
    <w:rsid w:val="00CD5A36"/>
    <w:rsid w:val="00CD5FC5"/>
    <w:rsid w:val="00CD6995"/>
    <w:rsid w:val="00CF1B9B"/>
    <w:rsid w:val="00CF39FF"/>
    <w:rsid w:val="00CF4555"/>
    <w:rsid w:val="00CF7476"/>
    <w:rsid w:val="00D03D15"/>
    <w:rsid w:val="00D06BB8"/>
    <w:rsid w:val="00D06CB2"/>
    <w:rsid w:val="00D10A48"/>
    <w:rsid w:val="00D16B34"/>
    <w:rsid w:val="00D16F55"/>
    <w:rsid w:val="00D229C3"/>
    <w:rsid w:val="00D2654B"/>
    <w:rsid w:val="00D32154"/>
    <w:rsid w:val="00D51D1D"/>
    <w:rsid w:val="00D52923"/>
    <w:rsid w:val="00D6206A"/>
    <w:rsid w:val="00D71B7A"/>
    <w:rsid w:val="00D745E6"/>
    <w:rsid w:val="00D7537F"/>
    <w:rsid w:val="00D758D0"/>
    <w:rsid w:val="00D915A0"/>
    <w:rsid w:val="00D91B90"/>
    <w:rsid w:val="00D92D31"/>
    <w:rsid w:val="00D92E48"/>
    <w:rsid w:val="00D96638"/>
    <w:rsid w:val="00D97881"/>
    <w:rsid w:val="00DA2CB7"/>
    <w:rsid w:val="00DA3D22"/>
    <w:rsid w:val="00DB3884"/>
    <w:rsid w:val="00DB648C"/>
    <w:rsid w:val="00DB6696"/>
    <w:rsid w:val="00DB6A2E"/>
    <w:rsid w:val="00DC5B4A"/>
    <w:rsid w:val="00DC6666"/>
    <w:rsid w:val="00DD0BC1"/>
    <w:rsid w:val="00DD15B2"/>
    <w:rsid w:val="00DD1653"/>
    <w:rsid w:val="00DE293D"/>
    <w:rsid w:val="00DE5C0A"/>
    <w:rsid w:val="00E003C7"/>
    <w:rsid w:val="00E00ECC"/>
    <w:rsid w:val="00E01647"/>
    <w:rsid w:val="00E0173C"/>
    <w:rsid w:val="00E21270"/>
    <w:rsid w:val="00E234D4"/>
    <w:rsid w:val="00E278B3"/>
    <w:rsid w:val="00E27D9A"/>
    <w:rsid w:val="00E32A18"/>
    <w:rsid w:val="00E33F56"/>
    <w:rsid w:val="00E35051"/>
    <w:rsid w:val="00E35BBB"/>
    <w:rsid w:val="00E401FC"/>
    <w:rsid w:val="00E43E81"/>
    <w:rsid w:val="00E51EBC"/>
    <w:rsid w:val="00E52396"/>
    <w:rsid w:val="00E52D5A"/>
    <w:rsid w:val="00E5453B"/>
    <w:rsid w:val="00E575D0"/>
    <w:rsid w:val="00E61F1B"/>
    <w:rsid w:val="00E66D94"/>
    <w:rsid w:val="00E7041F"/>
    <w:rsid w:val="00E71BE8"/>
    <w:rsid w:val="00E726FA"/>
    <w:rsid w:val="00E765CF"/>
    <w:rsid w:val="00E77298"/>
    <w:rsid w:val="00E77496"/>
    <w:rsid w:val="00E91BD3"/>
    <w:rsid w:val="00EA4C38"/>
    <w:rsid w:val="00EB27B8"/>
    <w:rsid w:val="00EB5EBB"/>
    <w:rsid w:val="00EB6E10"/>
    <w:rsid w:val="00EB70C4"/>
    <w:rsid w:val="00EC307D"/>
    <w:rsid w:val="00EC3EB5"/>
    <w:rsid w:val="00EC4268"/>
    <w:rsid w:val="00EC4291"/>
    <w:rsid w:val="00EE4F1F"/>
    <w:rsid w:val="00EF009A"/>
    <w:rsid w:val="00EF15DE"/>
    <w:rsid w:val="00EF3FA3"/>
    <w:rsid w:val="00F01E2A"/>
    <w:rsid w:val="00F20BCE"/>
    <w:rsid w:val="00F22E28"/>
    <w:rsid w:val="00F259B1"/>
    <w:rsid w:val="00F25BD2"/>
    <w:rsid w:val="00F338B4"/>
    <w:rsid w:val="00F4378D"/>
    <w:rsid w:val="00F45D3F"/>
    <w:rsid w:val="00F4626A"/>
    <w:rsid w:val="00F52470"/>
    <w:rsid w:val="00F53DB0"/>
    <w:rsid w:val="00F54E97"/>
    <w:rsid w:val="00F5520F"/>
    <w:rsid w:val="00F61439"/>
    <w:rsid w:val="00F76195"/>
    <w:rsid w:val="00F76B12"/>
    <w:rsid w:val="00F843E6"/>
    <w:rsid w:val="00F875E0"/>
    <w:rsid w:val="00F97635"/>
    <w:rsid w:val="00FA5987"/>
    <w:rsid w:val="00FA7CD3"/>
    <w:rsid w:val="00FB6E64"/>
    <w:rsid w:val="00FC36AB"/>
    <w:rsid w:val="00FC6625"/>
    <w:rsid w:val="00FD089A"/>
    <w:rsid w:val="00FD6AB5"/>
    <w:rsid w:val="00FE15B7"/>
    <w:rsid w:val="00FF1E2B"/>
    <w:rsid w:val="00FF2813"/>
    <w:rsid w:val="02074EB8"/>
    <w:rsid w:val="02091719"/>
    <w:rsid w:val="038A7C67"/>
    <w:rsid w:val="03F86B1C"/>
    <w:rsid w:val="04034110"/>
    <w:rsid w:val="04727BBA"/>
    <w:rsid w:val="048576B0"/>
    <w:rsid w:val="05D610DF"/>
    <w:rsid w:val="05E8280B"/>
    <w:rsid w:val="060309E7"/>
    <w:rsid w:val="06AB1FE8"/>
    <w:rsid w:val="06B86A37"/>
    <w:rsid w:val="0719009A"/>
    <w:rsid w:val="071F19F8"/>
    <w:rsid w:val="07635AB0"/>
    <w:rsid w:val="08B2626B"/>
    <w:rsid w:val="099B1640"/>
    <w:rsid w:val="0ABF3D7B"/>
    <w:rsid w:val="0B2B6467"/>
    <w:rsid w:val="0B725406"/>
    <w:rsid w:val="0CC31C91"/>
    <w:rsid w:val="0D004126"/>
    <w:rsid w:val="0D6201C5"/>
    <w:rsid w:val="0DC631E8"/>
    <w:rsid w:val="0E8730E5"/>
    <w:rsid w:val="0F5175EB"/>
    <w:rsid w:val="106148D6"/>
    <w:rsid w:val="107A5283"/>
    <w:rsid w:val="111F214A"/>
    <w:rsid w:val="115651E8"/>
    <w:rsid w:val="11656BDA"/>
    <w:rsid w:val="11761DFC"/>
    <w:rsid w:val="142C337E"/>
    <w:rsid w:val="14EA5BD3"/>
    <w:rsid w:val="161A3A07"/>
    <w:rsid w:val="17F1012A"/>
    <w:rsid w:val="185201C3"/>
    <w:rsid w:val="1903498D"/>
    <w:rsid w:val="193E3E78"/>
    <w:rsid w:val="1A6525DA"/>
    <w:rsid w:val="1BA76C24"/>
    <w:rsid w:val="1C542906"/>
    <w:rsid w:val="1D1B3803"/>
    <w:rsid w:val="1D695499"/>
    <w:rsid w:val="1D951428"/>
    <w:rsid w:val="1E2A5CFB"/>
    <w:rsid w:val="1E9E352A"/>
    <w:rsid w:val="1EFA0D92"/>
    <w:rsid w:val="1EFD0ABE"/>
    <w:rsid w:val="1FB91306"/>
    <w:rsid w:val="1FEC783F"/>
    <w:rsid w:val="200B0972"/>
    <w:rsid w:val="21065330"/>
    <w:rsid w:val="213733D5"/>
    <w:rsid w:val="214B21A5"/>
    <w:rsid w:val="215B3136"/>
    <w:rsid w:val="216002E1"/>
    <w:rsid w:val="219F34E9"/>
    <w:rsid w:val="21B41734"/>
    <w:rsid w:val="22A63168"/>
    <w:rsid w:val="23203542"/>
    <w:rsid w:val="23A60760"/>
    <w:rsid w:val="24AB70FB"/>
    <w:rsid w:val="24FA677F"/>
    <w:rsid w:val="250F5D16"/>
    <w:rsid w:val="25DC5E46"/>
    <w:rsid w:val="25F2433A"/>
    <w:rsid w:val="26B02E37"/>
    <w:rsid w:val="26EF3826"/>
    <w:rsid w:val="26F9320C"/>
    <w:rsid w:val="2703088D"/>
    <w:rsid w:val="276C6AD4"/>
    <w:rsid w:val="2772B7B5"/>
    <w:rsid w:val="28D15A0A"/>
    <w:rsid w:val="2A1D18D9"/>
    <w:rsid w:val="2A760712"/>
    <w:rsid w:val="2B630BFE"/>
    <w:rsid w:val="2BDF6DF1"/>
    <w:rsid w:val="2C113F99"/>
    <w:rsid w:val="2D7F2764"/>
    <w:rsid w:val="2DB611A7"/>
    <w:rsid w:val="2DD331DB"/>
    <w:rsid w:val="2F7C5B29"/>
    <w:rsid w:val="2F917AF7"/>
    <w:rsid w:val="2FBB2C73"/>
    <w:rsid w:val="2FFB57C4"/>
    <w:rsid w:val="2FFE4EED"/>
    <w:rsid w:val="300F506A"/>
    <w:rsid w:val="31A041CB"/>
    <w:rsid w:val="31EC7D93"/>
    <w:rsid w:val="323F48DB"/>
    <w:rsid w:val="32452351"/>
    <w:rsid w:val="330B6407"/>
    <w:rsid w:val="330C0AF9"/>
    <w:rsid w:val="330D139E"/>
    <w:rsid w:val="33A92103"/>
    <w:rsid w:val="33F53497"/>
    <w:rsid w:val="345C0152"/>
    <w:rsid w:val="34E070FE"/>
    <w:rsid w:val="359B0614"/>
    <w:rsid w:val="35FFB911"/>
    <w:rsid w:val="36FF7769"/>
    <w:rsid w:val="3732075A"/>
    <w:rsid w:val="37461371"/>
    <w:rsid w:val="37EC3041"/>
    <w:rsid w:val="38171165"/>
    <w:rsid w:val="39203343"/>
    <w:rsid w:val="39C4713F"/>
    <w:rsid w:val="39EB6D52"/>
    <w:rsid w:val="3A276D51"/>
    <w:rsid w:val="3AEA64B7"/>
    <w:rsid w:val="3BC50C30"/>
    <w:rsid w:val="3BCA1199"/>
    <w:rsid w:val="3BCE6D68"/>
    <w:rsid w:val="3CB67174"/>
    <w:rsid w:val="3E570308"/>
    <w:rsid w:val="3E83087B"/>
    <w:rsid w:val="3E90381A"/>
    <w:rsid w:val="3F077A7B"/>
    <w:rsid w:val="3FBD7BE3"/>
    <w:rsid w:val="3FD71BD3"/>
    <w:rsid w:val="3FFFFD50"/>
    <w:rsid w:val="40827DDE"/>
    <w:rsid w:val="40D46ECD"/>
    <w:rsid w:val="41064109"/>
    <w:rsid w:val="43FD0DE3"/>
    <w:rsid w:val="44775605"/>
    <w:rsid w:val="45AF4585"/>
    <w:rsid w:val="45F5712C"/>
    <w:rsid w:val="45F95488"/>
    <w:rsid w:val="473B1FE0"/>
    <w:rsid w:val="476E3987"/>
    <w:rsid w:val="478A44C2"/>
    <w:rsid w:val="47B9735B"/>
    <w:rsid w:val="47E349BA"/>
    <w:rsid w:val="47F7B10C"/>
    <w:rsid w:val="49413462"/>
    <w:rsid w:val="49CF51F6"/>
    <w:rsid w:val="4ADB792D"/>
    <w:rsid w:val="4B06733D"/>
    <w:rsid w:val="4B445083"/>
    <w:rsid w:val="4B7D32E7"/>
    <w:rsid w:val="4CEA62FD"/>
    <w:rsid w:val="4D69449B"/>
    <w:rsid w:val="4DAE072C"/>
    <w:rsid w:val="4E616639"/>
    <w:rsid w:val="4F2101B0"/>
    <w:rsid w:val="50273371"/>
    <w:rsid w:val="50E826A2"/>
    <w:rsid w:val="511F33AA"/>
    <w:rsid w:val="51840F4D"/>
    <w:rsid w:val="533D0133"/>
    <w:rsid w:val="53D32005"/>
    <w:rsid w:val="54FE6090"/>
    <w:rsid w:val="55BA6302"/>
    <w:rsid w:val="56462CE4"/>
    <w:rsid w:val="56785313"/>
    <w:rsid w:val="57AF17DD"/>
    <w:rsid w:val="58181289"/>
    <w:rsid w:val="58333CFC"/>
    <w:rsid w:val="586569CD"/>
    <w:rsid w:val="58A74638"/>
    <w:rsid w:val="59841B0C"/>
    <w:rsid w:val="59B030F2"/>
    <w:rsid w:val="5AB20948"/>
    <w:rsid w:val="5BEF3B91"/>
    <w:rsid w:val="5BFF6716"/>
    <w:rsid w:val="5C341831"/>
    <w:rsid w:val="5CB5D481"/>
    <w:rsid w:val="5CEC1CE4"/>
    <w:rsid w:val="5DAF9377"/>
    <w:rsid w:val="5E14426B"/>
    <w:rsid w:val="5E350821"/>
    <w:rsid w:val="5E843B4A"/>
    <w:rsid w:val="5EBB6DD2"/>
    <w:rsid w:val="5F3DE9E6"/>
    <w:rsid w:val="5F486850"/>
    <w:rsid w:val="60FFA783"/>
    <w:rsid w:val="621A2718"/>
    <w:rsid w:val="62280C1C"/>
    <w:rsid w:val="64E742EF"/>
    <w:rsid w:val="64E86A7F"/>
    <w:rsid w:val="65E63B9C"/>
    <w:rsid w:val="668760F0"/>
    <w:rsid w:val="66D50D69"/>
    <w:rsid w:val="66EC51E2"/>
    <w:rsid w:val="671A04B3"/>
    <w:rsid w:val="67BF46A4"/>
    <w:rsid w:val="67FE9812"/>
    <w:rsid w:val="681A4605"/>
    <w:rsid w:val="68B27395"/>
    <w:rsid w:val="69295BEB"/>
    <w:rsid w:val="6AA638F9"/>
    <w:rsid w:val="6ADF1C11"/>
    <w:rsid w:val="6B454EC0"/>
    <w:rsid w:val="6CF328EE"/>
    <w:rsid w:val="6D1569E4"/>
    <w:rsid w:val="6DBF59DD"/>
    <w:rsid w:val="6EFF8022"/>
    <w:rsid w:val="6F67BB43"/>
    <w:rsid w:val="71080FC1"/>
    <w:rsid w:val="716A0D53"/>
    <w:rsid w:val="73BB6C73"/>
    <w:rsid w:val="73C80E20"/>
    <w:rsid w:val="73FF33A6"/>
    <w:rsid w:val="74A23E37"/>
    <w:rsid w:val="75166DB7"/>
    <w:rsid w:val="753C3971"/>
    <w:rsid w:val="75EB0D5A"/>
    <w:rsid w:val="765B77D4"/>
    <w:rsid w:val="7750356B"/>
    <w:rsid w:val="775E08DB"/>
    <w:rsid w:val="77894387"/>
    <w:rsid w:val="77A347A7"/>
    <w:rsid w:val="77D14E4B"/>
    <w:rsid w:val="786646C8"/>
    <w:rsid w:val="79770513"/>
    <w:rsid w:val="79F6537E"/>
    <w:rsid w:val="7ADF1AB4"/>
    <w:rsid w:val="7B342977"/>
    <w:rsid w:val="7B7B048A"/>
    <w:rsid w:val="7C267813"/>
    <w:rsid w:val="7DBFB5D9"/>
    <w:rsid w:val="7E292420"/>
    <w:rsid w:val="7E895303"/>
    <w:rsid w:val="7EB75036"/>
    <w:rsid w:val="7EE66B53"/>
    <w:rsid w:val="7EEF3669"/>
    <w:rsid w:val="7EFFDB72"/>
    <w:rsid w:val="7F6C595C"/>
    <w:rsid w:val="7F6F6B0A"/>
    <w:rsid w:val="7F6FD20D"/>
    <w:rsid w:val="7F734281"/>
    <w:rsid w:val="7F791185"/>
    <w:rsid w:val="7F8EFF98"/>
    <w:rsid w:val="7FB61B64"/>
    <w:rsid w:val="7FF65823"/>
    <w:rsid w:val="A9BA29F9"/>
    <w:rsid w:val="AF5BB151"/>
    <w:rsid w:val="B1B6BE69"/>
    <w:rsid w:val="B3EECCF4"/>
    <w:rsid w:val="B5EF26BF"/>
    <w:rsid w:val="B9BF5439"/>
    <w:rsid w:val="BBCF7EAF"/>
    <w:rsid w:val="BC7249B0"/>
    <w:rsid w:val="BDF713D9"/>
    <w:rsid w:val="BFEF35FB"/>
    <w:rsid w:val="C7FFCD51"/>
    <w:rsid w:val="D2ED1924"/>
    <w:rsid w:val="D69A3F87"/>
    <w:rsid w:val="DB7CF5C5"/>
    <w:rsid w:val="DD9F79F4"/>
    <w:rsid w:val="DDBFBE7A"/>
    <w:rsid w:val="DF720294"/>
    <w:rsid w:val="DF9E7E55"/>
    <w:rsid w:val="DFDABE4E"/>
    <w:rsid w:val="DFE6A0C0"/>
    <w:rsid w:val="DFFF66AD"/>
    <w:rsid w:val="E25BDE1E"/>
    <w:rsid w:val="E7FFFD34"/>
    <w:rsid w:val="E9DB9CEF"/>
    <w:rsid w:val="EEF6A62B"/>
    <w:rsid w:val="EFF52485"/>
    <w:rsid w:val="EFFB1150"/>
    <w:rsid w:val="F3FB9552"/>
    <w:rsid w:val="F5722CDF"/>
    <w:rsid w:val="F74F2DDC"/>
    <w:rsid w:val="F7FF0EB0"/>
    <w:rsid w:val="FDCD82E2"/>
    <w:rsid w:val="FDE55293"/>
    <w:rsid w:val="FEBD04A8"/>
    <w:rsid w:val="FFAE4B29"/>
    <w:rsid w:val="FFF480CA"/>
    <w:rsid w:val="FFF71F6D"/>
    <w:rsid w:val="FFFB6A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1"/>
    <w:pPr>
      <w:autoSpaceDE w:val="0"/>
      <w:autoSpaceDN w:val="0"/>
      <w:adjustRightInd w:val="0"/>
      <w:ind w:left="1846" w:right="1919"/>
      <w:jc w:val="center"/>
      <w:outlineLvl w:val="0"/>
    </w:pPr>
    <w:rPr>
      <w:rFonts w:ascii="宋体" w:hAnsi="Times New Roman" w:eastAsia="宋体" w:cs="宋体"/>
      <w:b/>
      <w:bCs/>
      <w:kern w:val="0"/>
      <w:sz w:val="38"/>
      <w:szCs w:val="38"/>
    </w:rPr>
  </w:style>
  <w:style w:type="paragraph" w:styleId="3">
    <w:name w:val="heading 2"/>
    <w:basedOn w:val="1"/>
    <w:next w:val="1"/>
    <w:link w:val="2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6"/>
    <w:unhideWhenUsed/>
    <w:qFormat/>
    <w:uiPriority w:val="9"/>
    <w:pPr>
      <w:keepNext/>
      <w:keepLines/>
      <w:spacing w:before="100" w:after="100"/>
      <w:outlineLvl w:val="2"/>
    </w:pPr>
    <w:rPr>
      <w:b/>
      <w:bCs/>
      <w:sz w:val="32"/>
      <w:szCs w:val="32"/>
    </w:rPr>
  </w:style>
  <w:style w:type="paragraph" w:styleId="5">
    <w:name w:val="heading 4"/>
    <w:basedOn w:val="1"/>
    <w:next w:val="1"/>
    <w:link w:val="39"/>
    <w:unhideWhenUsed/>
    <w:qFormat/>
    <w:uiPriority w:val="9"/>
    <w:pPr>
      <w:keepNext/>
      <w:keepLines/>
      <w:spacing w:before="100" w:after="100"/>
      <w:outlineLvl w:val="3"/>
    </w:pPr>
    <w:rPr>
      <w:rFonts w:asciiTheme="majorHAnsi" w:hAnsiTheme="majorHAnsi" w:eastAsiaTheme="majorEastAsia" w:cstheme="majorBidi"/>
      <w:b/>
      <w:bCs/>
      <w:sz w:val="28"/>
      <w:szCs w:val="28"/>
    </w:rPr>
  </w:style>
  <w:style w:type="paragraph" w:styleId="6">
    <w:name w:val="heading 5"/>
    <w:basedOn w:val="1"/>
    <w:next w:val="1"/>
    <w:link w:val="41"/>
    <w:semiHidden/>
    <w:unhideWhenUsed/>
    <w:qFormat/>
    <w:uiPriority w:val="9"/>
    <w:pPr>
      <w:keepNext/>
      <w:keepLines/>
      <w:spacing w:before="280" w:after="290" w:line="376" w:lineRule="auto"/>
      <w:outlineLvl w:val="4"/>
    </w:pPr>
    <w:rPr>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7">
    <w:name w:val="annotation text"/>
    <w:basedOn w:val="1"/>
    <w:link w:val="30"/>
    <w:semiHidden/>
    <w:qFormat/>
    <w:uiPriority w:val="0"/>
    <w:rPr>
      <w:rFonts w:ascii="Times New Roman" w:hAnsi="Times New Roman" w:eastAsia="宋体" w:cs="Times New Roman"/>
      <w:szCs w:val="24"/>
    </w:rPr>
  </w:style>
  <w:style w:type="paragraph" w:styleId="8">
    <w:name w:val="Body Text"/>
    <w:basedOn w:val="1"/>
    <w:link w:val="38"/>
    <w:qFormat/>
    <w:uiPriority w:val="1"/>
    <w:pPr>
      <w:autoSpaceDE w:val="0"/>
      <w:autoSpaceDN w:val="0"/>
      <w:adjustRightInd w:val="0"/>
    </w:pPr>
    <w:rPr>
      <w:rFonts w:ascii="宋体" w:hAnsi="Times New Roman" w:eastAsia="宋体" w:cs="宋体"/>
      <w:kern w:val="0"/>
      <w:szCs w:val="21"/>
    </w:rPr>
  </w:style>
  <w:style w:type="paragraph" w:styleId="9">
    <w:name w:val="Plain Text"/>
    <w:basedOn w:val="1"/>
    <w:link w:val="27"/>
    <w:qFormat/>
    <w:uiPriority w:val="0"/>
    <w:rPr>
      <w:rFonts w:ascii="宋体" w:hAnsi="Courier New" w:eastAsia="宋体"/>
    </w:rPr>
  </w:style>
  <w:style w:type="paragraph" w:styleId="10">
    <w:name w:val="Balloon Text"/>
    <w:basedOn w:val="1"/>
    <w:link w:val="32"/>
    <w:semiHidden/>
    <w:unhideWhenUsed/>
    <w:qFormat/>
    <w:uiPriority w:val="99"/>
    <w:rPr>
      <w:sz w:val="18"/>
      <w:szCs w:val="18"/>
    </w:rPr>
  </w:style>
  <w:style w:type="paragraph" w:styleId="11">
    <w:name w:val="footer"/>
    <w:basedOn w:val="1"/>
    <w:link w:val="34"/>
    <w:unhideWhenUsed/>
    <w:qFormat/>
    <w:uiPriority w:val="0"/>
    <w:pPr>
      <w:tabs>
        <w:tab w:val="center" w:pos="4153"/>
        <w:tab w:val="right" w:pos="8306"/>
      </w:tabs>
      <w:snapToGrid w:val="0"/>
    </w:pPr>
    <w:rPr>
      <w:sz w:val="18"/>
      <w:szCs w:val="18"/>
    </w:rPr>
  </w:style>
  <w:style w:type="paragraph" w:styleId="12">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HTML Preformatted"/>
    <w:basedOn w:val="1"/>
    <w:link w:val="47"/>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inherit" w:hAnsi="inherit" w:eastAsia="宋体" w:cs="宋体"/>
      <w:kern w:val="0"/>
      <w:sz w:val="24"/>
      <w:szCs w:val="24"/>
    </w:rPr>
  </w:style>
  <w:style w:type="paragraph" w:styleId="14">
    <w:name w:val="Normal (Web)"/>
    <w:basedOn w:val="1"/>
    <w:semiHidden/>
    <w:unhideWhenUsed/>
    <w:qFormat/>
    <w:uiPriority w:val="99"/>
    <w:pPr>
      <w:spacing w:beforeAutospacing="1" w:afterAutospacing="1"/>
    </w:pPr>
    <w:rPr>
      <w:rFonts w:cs="Times New Roman"/>
      <w:kern w:val="0"/>
      <w:sz w:val="24"/>
    </w:rPr>
  </w:style>
  <w:style w:type="paragraph" w:styleId="15">
    <w:name w:val="annotation subject"/>
    <w:basedOn w:val="7"/>
    <w:next w:val="7"/>
    <w:link w:val="35"/>
    <w:semiHidden/>
    <w:unhideWhenUsed/>
    <w:qFormat/>
    <w:uiPriority w:val="99"/>
    <w:rPr>
      <w:rFonts w:asciiTheme="minorHAnsi" w:hAnsiTheme="minorHAnsi" w:eastAsiaTheme="minorEastAsia" w:cstheme="minorBidi"/>
      <w:b/>
      <w:bCs/>
      <w:szCs w:val="22"/>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styleId="20">
    <w:name w:val="page number"/>
    <w:basedOn w:val="18"/>
    <w:qFormat/>
    <w:uiPriority w:val="0"/>
  </w:style>
  <w:style w:type="character" w:styleId="21">
    <w:name w:val="Hyperlink"/>
    <w:basedOn w:val="18"/>
    <w:unhideWhenUsed/>
    <w:qFormat/>
    <w:uiPriority w:val="99"/>
    <w:rPr>
      <w:color w:val="0000FF" w:themeColor="hyperlink"/>
      <w:u w:val="single"/>
      <w14:textFill>
        <w14:solidFill>
          <w14:schemeClr w14:val="hlink"/>
        </w14:solidFill>
      </w14:textFill>
    </w:rPr>
  </w:style>
  <w:style w:type="character" w:styleId="22">
    <w:name w:val="annotation reference"/>
    <w:semiHidden/>
    <w:qFormat/>
    <w:uiPriority w:val="0"/>
    <w:rPr>
      <w:sz w:val="21"/>
      <w:szCs w:val="21"/>
    </w:rPr>
  </w:style>
  <w:style w:type="paragraph" w:customStyle="1" w:styleId="23">
    <w:name w:val="正文首行缩进1"/>
    <w:basedOn w:val="8"/>
    <w:unhideWhenUsed/>
    <w:qFormat/>
    <w:uiPriority w:val="0"/>
    <w:pPr>
      <w:ind w:firstLine="420" w:firstLineChars="100"/>
    </w:pPr>
  </w:style>
  <w:style w:type="character" w:customStyle="1" w:styleId="24">
    <w:name w:val="标题 1 字符"/>
    <w:basedOn w:val="18"/>
    <w:link w:val="2"/>
    <w:qFormat/>
    <w:uiPriority w:val="1"/>
    <w:rPr>
      <w:rFonts w:ascii="宋体" w:hAnsi="Times New Roman" w:eastAsia="宋体" w:cs="宋体"/>
      <w:b/>
      <w:bCs/>
      <w:kern w:val="0"/>
      <w:sz w:val="38"/>
      <w:szCs w:val="38"/>
    </w:rPr>
  </w:style>
  <w:style w:type="character" w:customStyle="1" w:styleId="25">
    <w:name w:val="标题 2 字符"/>
    <w:basedOn w:val="18"/>
    <w:link w:val="3"/>
    <w:qFormat/>
    <w:uiPriority w:val="9"/>
    <w:rPr>
      <w:rFonts w:asciiTheme="majorHAnsi" w:hAnsiTheme="majorHAnsi" w:eastAsiaTheme="majorEastAsia" w:cstheme="majorBidi"/>
      <w:b/>
      <w:bCs/>
      <w:sz w:val="32"/>
      <w:szCs w:val="32"/>
    </w:rPr>
  </w:style>
  <w:style w:type="character" w:customStyle="1" w:styleId="26">
    <w:name w:val="标题 3 字符"/>
    <w:basedOn w:val="18"/>
    <w:link w:val="4"/>
    <w:qFormat/>
    <w:uiPriority w:val="9"/>
    <w:rPr>
      <w:b/>
      <w:bCs/>
      <w:sz w:val="32"/>
      <w:szCs w:val="32"/>
    </w:rPr>
  </w:style>
  <w:style w:type="character" w:customStyle="1" w:styleId="27">
    <w:name w:val="纯文本 字符1"/>
    <w:link w:val="9"/>
    <w:qFormat/>
    <w:uiPriority w:val="0"/>
    <w:rPr>
      <w:rFonts w:ascii="宋体" w:hAnsi="Courier New" w:eastAsia="宋体"/>
    </w:rPr>
  </w:style>
  <w:style w:type="character" w:customStyle="1" w:styleId="28">
    <w:name w:val="批注文字 字符"/>
    <w:basedOn w:val="18"/>
    <w:semiHidden/>
    <w:qFormat/>
    <w:uiPriority w:val="99"/>
  </w:style>
  <w:style w:type="character" w:customStyle="1" w:styleId="29">
    <w:name w:val="纯文本 字符"/>
    <w:basedOn w:val="18"/>
    <w:semiHidden/>
    <w:qFormat/>
    <w:uiPriority w:val="99"/>
    <w:rPr>
      <w:rFonts w:hAnsi="Courier New" w:cs="Courier New" w:asciiTheme="minorEastAsia"/>
    </w:rPr>
  </w:style>
  <w:style w:type="character" w:customStyle="1" w:styleId="30">
    <w:name w:val="批注文字 字符1"/>
    <w:link w:val="7"/>
    <w:semiHidden/>
    <w:qFormat/>
    <w:uiPriority w:val="0"/>
    <w:rPr>
      <w:rFonts w:ascii="Times New Roman" w:hAnsi="Times New Roman" w:eastAsia="宋体" w:cs="Times New Roman"/>
      <w:szCs w:val="24"/>
    </w:rPr>
  </w:style>
  <w:style w:type="character" w:customStyle="1" w:styleId="31">
    <w:name w:val="未处理的提及1"/>
    <w:basedOn w:val="18"/>
    <w:semiHidden/>
    <w:unhideWhenUsed/>
    <w:qFormat/>
    <w:uiPriority w:val="99"/>
    <w:rPr>
      <w:color w:val="605E5C"/>
      <w:shd w:val="clear" w:color="auto" w:fill="E1DFDD"/>
    </w:rPr>
  </w:style>
  <w:style w:type="character" w:customStyle="1" w:styleId="32">
    <w:name w:val="批注框文本 字符"/>
    <w:basedOn w:val="18"/>
    <w:link w:val="10"/>
    <w:semiHidden/>
    <w:qFormat/>
    <w:uiPriority w:val="99"/>
    <w:rPr>
      <w:sz w:val="18"/>
      <w:szCs w:val="18"/>
    </w:rPr>
  </w:style>
  <w:style w:type="character" w:customStyle="1" w:styleId="33">
    <w:name w:val="页眉 字符"/>
    <w:basedOn w:val="18"/>
    <w:link w:val="12"/>
    <w:qFormat/>
    <w:uiPriority w:val="99"/>
    <w:rPr>
      <w:sz w:val="18"/>
      <w:szCs w:val="18"/>
    </w:rPr>
  </w:style>
  <w:style w:type="character" w:customStyle="1" w:styleId="34">
    <w:name w:val="页脚 字符"/>
    <w:basedOn w:val="18"/>
    <w:link w:val="11"/>
    <w:qFormat/>
    <w:uiPriority w:val="0"/>
    <w:rPr>
      <w:sz w:val="18"/>
      <w:szCs w:val="18"/>
    </w:rPr>
  </w:style>
  <w:style w:type="character" w:customStyle="1" w:styleId="35">
    <w:name w:val="批注主题 字符"/>
    <w:basedOn w:val="30"/>
    <w:link w:val="15"/>
    <w:semiHidden/>
    <w:qFormat/>
    <w:uiPriority w:val="99"/>
    <w:rPr>
      <w:rFonts w:ascii="Times New Roman" w:hAnsi="Times New Roman" w:eastAsia="宋体" w:cs="Times New Roman"/>
      <w:b/>
      <w:bCs/>
      <w:szCs w:val="24"/>
    </w:rPr>
  </w:style>
  <w:style w:type="paragraph" w:styleId="36">
    <w:name w:val="List Paragraph"/>
    <w:basedOn w:val="1"/>
    <w:qFormat/>
    <w:uiPriority w:val="1"/>
    <w:pPr>
      <w:autoSpaceDE w:val="0"/>
      <w:autoSpaceDN w:val="0"/>
      <w:adjustRightInd w:val="0"/>
      <w:ind w:left="152" w:firstLine="428"/>
    </w:pPr>
    <w:rPr>
      <w:rFonts w:ascii="宋体" w:hAnsi="Times New Roman" w:eastAsia="宋体" w:cs="宋体"/>
      <w:kern w:val="0"/>
      <w:sz w:val="24"/>
      <w:szCs w:val="24"/>
    </w:rPr>
  </w:style>
  <w:style w:type="paragraph" w:customStyle="1" w:styleId="37">
    <w:name w:val="Table Paragraph"/>
    <w:basedOn w:val="1"/>
    <w:qFormat/>
    <w:uiPriority w:val="1"/>
    <w:pPr>
      <w:autoSpaceDE w:val="0"/>
      <w:autoSpaceDN w:val="0"/>
      <w:adjustRightInd w:val="0"/>
    </w:pPr>
    <w:rPr>
      <w:rFonts w:ascii="宋体" w:hAnsi="Times New Roman" w:eastAsia="宋体" w:cs="宋体"/>
      <w:kern w:val="0"/>
      <w:sz w:val="24"/>
      <w:szCs w:val="24"/>
    </w:rPr>
  </w:style>
  <w:style w:type="character" w:customStyle="1" w:styleId="38">
    <w:name w:val="正文文本 字符"/>
    <w:basedOn w:val="18"/>
    <w:link w:val="8"/>
    <w:qFormat/>
    <w:uiPriority w:val="1"/>
    <w:rPr>
      <w:rFonts w:ascii="宋体" w:hAnsi="Times New Roman" w:eastAsia="宋体" w:cs="宋体"/>
      <w:kern w:val="0"/>
      <w:szCs w:val="21"/>
    </w:rPr>
  </w:style>
  <w:style w:type="character" w:customStyle="1" w:styleId="39">
    <w:name w:val="标题 4 字符"/>
    <w:basedOn w:val="18"/>
    <w:link w:val="5"/>
    <w:qFormat/>
    <w:uiPriority w:val="9"/>
    <w:rPr>
      <w:rFonts w:asciiTheme="majorHAnsi" w:hAnsiTheme="majorHAnsi" w:eastAsiaTheme="majorEastAsia" w:cstheme="majorBidi"/>
      <w:b/>
      <w:bCs/>
      <w:sz w:val="28"/>
      <w:szCs w:val="28"/>
    </w:rPr>
  </w:style>
  <w:style w:type="paragraph" w:customStyle="1" w:styleId="40">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41">
    <w:name w:val="标题 5 字符"/>
    <w:basedOn w:val="18"/>
    <w:link w:val="6"/>
    <w:semiHidden/>
    <w:qFormat/>
    <w:uiPriority w:val="9"/>
    <w:rPr>
      <w:b/>
      <w:bCs/>
      <w:sz w:val="28"/>
      <w:szCs w:val="28"/>
    </w:rPr>
  </w:style>
  <w:style w:type="character" w:customStyle="1" w:styleId="42">
    <w:name w:val="ca-7"/>
    <w:basedOn w:val="18"/>
    <w:qFormat/>
    <w:uiPriority w:val="0"/>
  </w:style>
  <w:style w:type="paragraph" w:customStyle="1" w:styleId="43">
    <w:name w:val="正文_0_0_0"/>
    <w:basedOn w:val="1"/>
    <w:qFormat/>
    <w:uiPriority w:val="0"/>
    <w:pPr>
      <w:jc w:val="both"/>
    </w:pPr>
    <w:rPr>
      <w:rFonts w:ascii="Times New Roman" w:hAnsi="Times New Roman" w:eastAsia="宋体" w:cs="Times New Roman"/>
      <w:szCs w:val="21"/>
    </w:rPr>
  </w:style>
  <w:style w:type="character" w:customStyle="1" w:styleId="44">
    <w:name w:val="font21"/>
    <w:qFormat/>
    <w:uiPriority w:val="0"/>
    <w:rPr>
      <w:rFonts w:hint="eastAsia" w:ascii="宋体" w:hAnsi="宋体" w:eastAsia="宋体" w:cs="宋体"/>
      <w:color w:val="000000"/>
      <w:sz w:val="21"/>
      <w:szCs w:val="21"/>
      <w:u w:val="none"/>
    </w:rPr>
  </w:style>
  <w:style w:type="paragraph" w:customStyle="1" w:styleId="45">
    <w:name w:val="正文_0"/>
    <w:qFormat/>
    <w:uiPriority w:val="0"/>
    <w:rPr>
      <w:rFonts w:ascii="Times New Roman" w:hAnsi="Times New Roman" w:eastAsia="宋体" w:cs="Times New Roman"/>
      <w:sz w:val="21"/>
      <w:szCs w:val="22"/>
      <w:lang w:val="en-US" w:eastAsia="zh-CN" w:bidi="ar-SA"/>
    </w:rPr>
  </w:style>
  <w:style w:type="paragraph" w:customStyle="1" w:styleId="46">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7">
    <w:name w:val="HTML 预设格式 字符"/>
    <w:basedOn w:val="18"/>
    <w:link w:val="13"/>
    <w:semiHidden/>
    <w:qFormat/>
    <w:uiPriority w:val="99"/>
    <w:rPr>
      <w:rFonts w:ascii="inherit" w:hAnsi="inherit" w:cs="宋体"/>
      <w:sz w:val="24"/>
      <w:szCs w:val="24"/>
    </w:rPr>
  </w:style>
  <w:style w:type="character" w:customStyle="1" w:styleId="48">
    <w:name w:val="15"/>
    <w:basedOn w:val="18"/>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tyleName="APA" SelectedStyle="\APA.XSL"/>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A2E7AF5E-E5F4-48E4-8A3B-AE9052C3CBF2}">
  <ds:schemaRefs/>
</ds:datastoreItem>
</file>

<file path=customXml/itemProps2.xml><?xml version="1.0" encoding="utf-8"?>
<ds:datastoreItem xmlns:ds="http://schemas.openxmlformats.org/officeDocument/2006/customXml" ds:itemID="{5B514E99-63CC-46AF-BBDF-508DEF26B078}">
  <ds:schemaRefs/>
</ds:datastoreItem>
</file>

<file path=docProps/app.xml><?xml version="1.0" encoding="utf-8"?>
<Properties xmlns="http://schemas.openxmlformats.org/officeDocument/2006/extended-properties" xmlns:vt="http://schemas.openxmlformats.org/officeDocument/2006/docPropsVTypes">
  <Company>Microsoft</Company>
  <Pages>42</Pages>
  <Words>20724</Words>
  <Characters>22165</Characters>
  <Lines>428</Lines>
  <Paragraphs>120</Paragraphs>
  <TotalTime>11</TotalTime>
  <ScaleCrop>false</ScaleCrop>
  <LinksUpToDate>false</LinksUpToDate>
  <CharactersWithSpaces>22466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2023-10-17T17:47:00Z</dcterms:created>
  <dc:creator>vv</dc:creator>
  <cp:lastModifiedBy>只如初见</cp:lastModifiedBy>
  <dcterms:modified xsi:type="dcterms:W3CDTF">2025-06-28T00:37:08Z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80CFA9941C314BB09E4AE3273298F285_13</vt:lpwstr>
  </property>
  <property fmtid="{D5CDD505-2E9C-101B-9397-08002B2CF9AE}" pid="4" name="KSOTemplateDocerSaveRecord">
    <vt:lpwstr>eyJoZGlkIjoiNGM1NzQ4M2QzNjMyZjBjYTEwMmZhZmM1ZjkxODQ2Y2IiLCJ1c2VySWQiOiIyMDcwNDYwOTYifQ==</vt:lpwstr>
  </property>
</Properties>
</file>