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keepLines/>
        <w:pageBreakBefore/>
        <w:widowControl/>
        <w:kinsoku/>
        <w:wordWrap/>
        <w:overflowPunct/>
        <w:topLinePunct w:val="0"/>
        <w:autoSpaceDE/>
        <w:autoSpaceDN/>
        <w:bidi w:val="0"/>
        <w:adjustRightInd/>
        <w:snapToGrid/>
        <w:spacing w:before="0" w:beforeLines="0"/>
        <w:ind w:left="0" w:leftChars="0" w:firstLine="0" w:firstLineChars="0"/>
        <w:jc w:val="center"/>
        <w:textAlignment w:val="auto"/>
        <w:rPr>
          <w:rStyle w:val="10"/>
          <w:rFonts w:hint="eastAsia" w:ascii="宋体" w:hAnsi="宋体" w:cs="宋体"/>
          <w:b/>
          <w:sz w:val="28"/>
          <w:szCs w:val="28"/>
          <w:highlight w:val="none"/>
        </w:rPr>
      </w:pPr>
      <w:r>
        <w:rPr>
          <w:rFonts w:cs="宋体"/>
          <w:color w:val="auto"/>
          <w:sz w:val="28"/>
          <w:szCs w:val="28"/>
          <w:highlight w:val="none"/>
          <w:lang w:bidi="ar"/>
        </w:rPr>
        <w:t>广州市番禺区第七人民医院1号楼天面改造项目</w:t>
      </w:r>
      <w:r>
        <w:rPr>
          <w:rFonts w:hint="eastAsia" w:cs="宋体"/>
          <w:color w:val="auto"/>
          <w:sz w:val="28"/>
          <w:szCs w:val="28"/>
          <w:highlight w:val="none"/>
          <w:lang w:eastAsia="zh-CN" w:bidi="ar"/>
        </w:rPr>
        <w:t>——</w:t>
      </w:r>
      <w:r>
        <w:rPr>
          <w:rFonts w:cs="宋体"/>
          <w:color w:val="auto"/>
          <w:sz w:val="28"/>
          <w:szCs w:val="28"/>
          <w:highlight w:val="none"/>
          <w:lang w:bidi="ar"/>
        </w:rPr>
        <w:t>用户需求书</w:t>
      </w:r>
    </w:p>
    <w:p>
      <w:pPr>
        <w:spacing w:line="340" w:lineRule="exact"/>
        <w:jc w:val="left"/>
        <w:rPr>
          <w:rFonts w:hint="eastAsia" w:ascii="宋体" w:hAnsi="宋体" w:cs="宋体"/>
          <w:b/>
          <w:szCs w:val="21"/>
          <w:highlight w:val="none"/>
        </w:rPr>
      </w:pPr>
      <w:r>
        <w:rPr>
          <w:rFonts w:hint="eastAsia" w:ascii="宋体" w:hAnsi="宋体" w:cs="宋体"/>
          <w:b/>
          <w:szCs w:val="21"/>
          <w:highlight w:val="none"/>
        </w:rPr>
        <w:t>一、项目概况</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3"/>
        <w:gridCol w:w="994"/>
        <w:gridCol w:w="1424"/>
        <w:gridCol w:w="2762"/>
        <w:gridCol w:w="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43" w:type="dxa"/>
            <w:noWrap w:val="0"/>
            <w:vAlign w:val="center"/>
          </w:tcPr>
          <w:p>
            <w:pPr>
              <w:spacing w:line="340" w:lineRule="exact"/>
              <w:jc w:val="center"/>
              <w:rPr>
                <w:rFonts w:hint="eastAsia" w:ascii="宋体" w:hAnsi="宋体" w:cs="宋体"/>
                <w:bCs/>
                <w:szCs w:val="21"/>
                <w:highlight w:val="none"/>
              </w:rPr>
            </w:pPr>
            <w:r>
              <w:rPr>
                <w:rFonts w:hint="eastAsia" w:ascii="宋体" w:hAnsi="宋体" w:cs="宋体"/>
                <w:bCs/>
                <w:szCs w:val="21"/>
                <w:highlight w:val="none"/>
              </w:rPr>
              <w:t>项目内容</w:t>
            </w:r>
          </w:p>
        </w:tc>
        <w:tc>
          <w:tcPr>
            <w:tcW w:w="994" w:type="dxa"/>
            <w:noWrap w:val="0"/>
            <w:vAlign w:val="center"/>
          </w:tcPr>
          <w:p>
            <w:pPr>
              <w:spacing w:line="340" w:lineRule="exact"/>
              <w:jc w:val="center"/>
              <w:rPr>
                <w:rFonts w:hint="eastAsia" w:ascii="宋体" w:hAnsi="宋体" w:cs="宋体"/>
                <w:bCs/>
                <w:szCs w:val="21"/>
                <w:highlight w:val="none"/>
              </w:rPr>
            </w:pPr>
            <w:r>
              <w:rPr>
                <w:rFonts w:hint="eastAsia" w:ascii="宋体" w:hAnsi="宋体" w:cs="宋体"/>
                <w:bCs/>
                <w:szCs w:val="21"/>
                <w:highlight w:val="none"/>
              </w:rPr>
              <w:t>数量</w:t>
            </w:r>
          </w:p>
        </w:tc>
        <w:tc>
          <w:tcPr>
            <w:tcW w:w="1424" w:type="dxa"/>
            <w:shd w:val="clear" w:color="auto" w:fill="auto"/>
            <w:noWrap w:val="0"/>
            <w:vAlign w:val="center"/>
          </w:tcPr>
          <w:p>
            <w:pPr>
              <w:spacing w:line="340" w:lineRule="exact"/>
              <w:jc w:val="center"/>
              <w:rPr>
                <w:rFonts w:hint="eastAsia" w:ascii="宋体" w:hAnsi="宋体" w:cs="宋体"/>
                <w:bCs/>
                <w:szCs w:val="21"/>
                <w:highlight w:val="none"/>
              </w:rPr>
            </w:pPr>
            <w:r>
              <w:rPr>
                <w:rFonts w:hint="eastAsia" w:ascii="宋体" w:hAnsi="宋体" w:cs="宋体"/>
                <w:bCs/>
                <w:szCs w:val="21"/>
                <w:highlight w:val="none"/>
              </w:rPr>
              <w:t>预算金额</w:t>
            </w:r>
          </w:p>
          <w:p>
            <w:pPr>
              <w:spacing w:line="340" w:lineRule="exact"/>
              <w:jc w:val="center"/>
              <w:rPr>
                <w:rFonts w:hint="eastAsia" w:ascii="宋体" w:hAnsi="宋体" w:cs="宋体"/>
                <w:bCs/>
                <w:szCs w:val="21"/>
                <w:highlight w:val="none"/>
              </w:rPr>
            </w:pPr>
            <w:r>
              <w:rPr>
                <w:rFonts w:hint="eastAsia" w:ascii="宋体" w:hAnsi="宋体" w:cs="宋体"/>
                <w:bCs/>
                <w:szCs w:val="21"/>
                <w:highlight w:val="none"/>
              </w:rPr>
              <w:t>（最高限价）</w:t>
            </w:r>
          </w:p>
          <w:p>
            <w:pPr>
              <w:spacing w:line="340" w:lineRule="exact"/>
              <w:jc w:val="center"/>
              <w:rPr>
                <w:rFonts w:hint="eastAsia" w:ascii="宋体" w:hAnsi="宋体" w:cs="宋体"/>
                <w:bCs/>
                <w:szCs w:val="21"/>
                <w:highlight w:val="none"/>
              </w:rPr>
            </w:pPr>
            <w:r>
              <w:rPr>
                <w:rFonts w:hint="eastAsia" w:ascii="宋体" w:hAnsi="宋体" w:cs="宋体"/>
                <w:bCs/>
                <w:szCs w:val="21"/>
                <w:highlight w:val="none"/>
              </w:rPr>
              <w:t>（万元）</w:t>
            </w:r>
          </w:p>
        </w:tc>
        <w:tc>
          <w:tcPr>
            <w:tcW w:w="2762" w:type="dxa"/>
            <w:shd w:val="clear" w:color="auto" w:fill="auto"/>
            <w:noWrap w:val="0"/>
            <w:vAlign w:val="center"/>
          </w:tcPr>
          <w:p>
            <w:pPr>
              <w:spacing w:line="340" w:lineRule="exact"/>
              <w:jc w:val="center"/>
              <w:rPr>
                <w:rFonts w:hint="default" w:ascii="宋体" w:hAnsi="宋体" w:eastAsia="宋体" w:cs="宋体"/>
                <w:bCs/>
                <w:szCs w:val="21"/>
                <w:highlight w:val="none"/>
                <w:lang w:val="en-US" w:eastAsia="zh-CN"/>
              </w:rPr>
            </w:pPr>
            <w:r>
              <w:rPr>
                <w:rFonts w:hint="eastAsia" w:ascii="宋体" w:hAnsi="宋体" w:cs="宋体"/>
                <w:bCs/>
                <w:szCs w:val="21"/>
                <w:highlight w:val="none"/>
                <w:lang w:val="en-US" w:eastAsia="zh-CN"/>
              </w:rPr>
              <w:t>工期要求</w:t>
            </w:r>
          </w:p>
        </w:tc>
        <w:tc>
          <w:tcPr>
            <w:tcW w:w="0" w:type="auto"/>
            <w:noWrap w:val="0"/>
            <w:vAlign w:val="center"/>
          </w:tcPr>
          <w:p>
            <w:pPr>
              <w:spacing w:line="340" w:lineRule="exact"/>
              <w:jc w:val="center"/>
              <w:rPr>
                <w:rFonts w:hint="eastAsia" w:ascii="宋体" w:hAnsi="宋体" w:cs="宋体"/>
                <w:bCs/>
                <w:szCs w:val="21"/>
                <w:highlight w:val="none"/>
              </w:rPr>
            </w:pPr>
            <w:r>
              <w:rPr>
                <w:rFonts w:hint="eastAsia" w:ascii="宋体" w:hAnsi="宋体" w:cs="宋体"/>
                <w:bCs/>
                <w:szCs w:val="21"/>
                <w:highlight w:val="none"/>
              </w:rPr>
              <w:t>中标供应商数量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43" w:type="dxa"/>
            <w:noWrap w:val="0"/>
            <w:vAlign w:val="center"/>
          </w:tcPr>
          <w:p>
            <w:pPr>
              <w:spacing w:line="340" w:lineRule="exact"/>
              <w:jc w:val="center"/>
              <w:rPr>
                <w:rFonts w:hint="eastAsia" w:ascii="宋体" w:hAnsi="宋体" w:cs="宋体"/>
                <w:bCs/>
                <w:szCs w:val="21"/>
                <w:highlight w:val="none"/>
              </w:rPr>
            </w:pPr>
            <w:r>
              <w:rPr>
                <w:rFonts w:ascii="微软雅黑" w:hAnsi="微软雅黑" w:eastAsia="微软雅黑" w:cs="微软雅黑"/>
                <w:i w:val="0"/>
                <w:iCs w:val="0"/>
                <w:caps w:val="0"/>
                <w:color w:val="333333"/>
                <w:spacing w:val="0"/>
                <w:sz w:val="21"/>
                <w:szCs w:val="21"/>
                <w:shd w:val="clear" w:fill="FFFFFF"/>
              </w:rPr>
              <w:t>广州市番禺区第七人民医院1号楼天面改造项目</w:t>
            </w:r>
          </w:p>
        </w:tc>
        <w:tc>
          <w:tcPr>
            <w:tcW w:w="994" w:type="dxa"/>
            <w:noWrap w:val="0"/>
            <w:vAlign w:val="center"/>
          </w:tcPr>
          <w:p>
            <w:pPr>
              <w:spacing w:line="340" w:lineRule="exact"/>
              <w:jc w:val="center"/>
              <w:rPr>
                <w:rFonts w:hint="eastAsia" w:ascii="宋体" w:hAnsi="宋体" w:cs="宋体"/>
                <w:bCs/>
                <w:szCs w:val="21"/>
                <w:highlight w:val="none"/>
              </w:rPr>
            </w:pPr>
            <w:r>
              <w:rPr>
                <w:rFonts w:hint="eastAsia" w:ascii="宋体" w:hAnsi="宋体" w:cs="宋体"/>
                <w:bCs/>
                <w:szCs w:val="21"/>
                <w:highlight w:val="none"/>
              </w:rPr>
              <w:t>1项</w:t>
            </w:r>
          </w:p>
        </w:tc>
        <w:tc>
          <w:tcPr>
            <w:tcW w:w="1424" w:type="dxa"/>
            <w:shd w:val="clear" w:color="auto" w:fill="auto"/>
            <w:noWrap w:val="0"/>
            <w:vAlign w:val="center"/>
          </w:tcPr>
          <w:p>
            <w:pPr>
              <w:spacing w:line="340" w:lineRule="exact"/>
              <w:jc w:val="center"/>
              <w:rPr>
                <w:rFonts w:hint="default" w:ascii="宋体" w:hAnsi="宋体" w:eastAsia="宋体" w:cs="宋体"/>
                <w:bCs/>
                <w:szCs w:val="21"/>
                <w:highlight w:val="none"/>
                <w:lang w:val="en-US" w:eastAsia="zh-CN"/>
              </w:rPr>
            </w:pPr>
          </w:p>
          <w:p>
            <w:pPr>
              <w:spacing w:line="340" w:lineRule="exact"/>
              <w:jc w:val="center"/>
              <w:rPr>
                <w:rFonts w:hint="default" w:ascii="宋体" w:hAnsi="宋体" w:eastAsia="宋体" w:cs="宋体"/>
                <w:bCs/>
                <w:szCs w:val="21"/>
                <w:highlight w:val="none"/>
                <w:lang w:val="en-US" w:eastAsia="zh-CN"/>
              </w:rPr>
            </w:pPr>
            <w:r>
              <w:rPr>
                <w:rFonts w:hint="default" w:ascii="宋体" w:hAnsi="宋体" w:eastAsia="宋体" w:cs="宋体"/>
                <w:bCs/>
                <w:szCs w:val="21"/>
                <w:highlight w:val="none"/>
                <w:lang w:val="en-US" w:eastAsia="zh-CN"/>
              </w:rPr>
              <w:t>34.05</w:t>
            </w:r>
          </w:p>
          <w:p>
            <w:pPr>
              <w:spacing w:line="340" w:lineRule="exact"/>
              <w:jc w:val="center"/>
              <w:rPr>
                <w:rFonts w:hint="default" w:ascii="宋体" w:hAnsi="宋体" w:eastAsia="宋体" w:cs="宋体"/>
                <w:bCs/>
                <w:szCs w:val="21"/>
                <w:highlight w:val="none"/>
                <w:lang w:val="en-US" w:eastAsia="zh-CN"/>
              </w:rPr>
            </w:pPr>
          </w:p>
        </w:tc>
        <w:tc>
          <w:tcPr>
            <w:tcW w:w="2762" w:type="dxa"/>
            <w:shd w:val="clear" w:color="auto" w:fill="auto"/>
            <w:noWrap w:val="0"/>
            <w:vAlign w:val="center"/>
          </w:tcPr>
          <w:p>
            <w:pPr>
              <w:spacing w:line="340" w:lineRule="exact"/>
              <w:jc w:val="center"/>
              <w:rPr>
                <w:rFonts w:hint="eastAsia" w:ascii="宋体" w:hAnsi="宋体" w:eastAsia="宋体" w:cs="宋体"/>
                <w:bCs/>
                <w:szCs w:val="21"/>
                <w:highlight w:val="none"/>
                <w:lang w:val="en-US" w:eastAsia="zh-CN"/>
              </w:rPr>
            </w:pPr>
            <w:r>
              <w:rPr>
                <w:rFonts w:hint="eastAsia" w:ascii="宋体" w:hAnsi="宋体" w:cs="宋体"/>
                <w:bCs/>
                <w:szCs w:val="21"/>
                <w:highlight w:val="none"/>
              </w:rPr>
              <w:t>自合同签订之日起</w:t>
            </w:r>
            <w:r>
              <w:rPr>
                <w:rFonts w:hint="eastAsia" w:ascii="宋体" w:hAnsi="宋体" w:cs="宋体"/>
                <w:bCs/>
                <w:szCs w:val="21"/>
                <w:highlight w:val="none"/>
                <w:lang w:val="en-US" w:eastAsia="zh-CN"/>
              </w:rPr>
              <w:t>60个日历天</w:t>
            </w:r>
            <w:r>
              <w:rPr>
                <w:rFonts w:hint="eastAsia" w:ascii="宋体" w:hAnsi="宋体" w:cs="宋体"/>
                <w:bCs/>
                <w:szCs w:val="21"/>
                <w:highlight w:val="none"/>
              </w:rPr>
              <w:t>内完成</w:t>
            </w:r>
            <w:r>
              <w:rPr>
                <w:rFonts w:hint="eastAsia" w:ascii="宋体" w:hAnsi="宋体" w:cs="宋体"/>
                <w:bCs/>
                <w:szCs w:val="21"/>
                <w:highlight w:val="none"/>
                <w:lang w:val="en-US" w:eastAsia="zh-CN"/>
              </w:rPr>
              <w:t>安装（不含光伏并网时间）</w:t>
            </w:r>
          </w:p>
        </w:tc>
        <w:tc>
          <w:tcPr>
            <w:tcW w:w="0" w:type="auto"/>
            <w:noWrap w:val="0"/>
            <w:vAlign w:val="center"/>
          </w:tcPr>
          <w:p>
            <w:pPr>
              <w:spacing w:line="340" w:lineRule="exact"/>
              <w:jc w:val="center"/>
              <w:rPr>
                <w:rFonts w:hint="eastAsia" w:ascii="宋体" w:hAnsi="宋体" w:cs="宋体"/>
                <w:bCs/>
                <w:szCs w:val="21"/>
                <w:highlight w:val="none"/>
              </w:rPr>
            </w:pPr>
            <w:r>
              <w:rPr>
                <w:rFonts w:hint="eastAsia" w:ascii="宋体" w:hAnsi="宋体" w:cs="宋体"/>
                <w:bCs/>
                <w:szCs w:val="21"/>
                <w:highlight w:val="none"/>
              </w:rPr>
              <w:t>1家</w:t>
            </w:r>
          </w:p>
        </w:tc>
      </w:tr>
    </w:tbl>
    <w:p>
      <w:pPr>
        <w:spacing w:line="340" w:lineRule="exact"/>
        <w:ind w:firstLine="420" w:firstLineChars="200"/>
        <w:jc w:val="left"/>
        <w:rPr>
          <w:rFonts w:hint="eastAsia" w:ascii="宋体" w:hAnsi="宋体" w:cs="宋体"/>
          <w:bCs/>
          <w:szCs w:val="21"/>
          <w:highlight w:val="none"/>
        </w:rPr>
      </w:pPr>
      <w:r>
        <w:rPr>
          <w:rFonts w:hint="default" w:ascii="宋体" w:hAnsi="宋体" w:cs="宋体"/>
          <w:b/>
          <w:bCs/>
          <w:szCs w:val="21"/>
          <w:highlight w:val="none"/>
        </w:rPr>
        <w:t>1.1</w:t>
      </w:r>
      <w:r>
        <w:rPr>
          <w:rFonts w:hint="eastAsia" w:ascii="宋体" w:hAnsi="宋体" w:cs="宋体"/>
          <w:bCs/>
          <w:szCs w:val="21"/>
          <w:highlight w:val="none"/>
        </w:rPr>
        <w:t>项目实施地点：广州市番禺区石楼镇人民路149号</w:t>
      </w:r>
    </w:p>
    <w:p>
      <w:pPr>
        <w:spacing w:line="340" w:lineRule="exact"/>
        <w:ind w:firstLine="420" w:firstLineChars="200"/>
        <w:jc w:val="left"/>
      </w:pPr>
      <w:r>
        <w:rPr>
          <w:rFonts w:hint="default" w:ascii="宋体" w:hAnsi="宋体" w:cs="宋体"/>
          <w:b/>
          <w:bCs/>
          <w:szCs w:val="21"/>
          <w:highlight w:val="none"/>
          <w:lang w:eastAsia="zh-CN"/>
        </w:rPr>
        <w:t>1.2</w:t>
      </w:r>
      <w:r>
        <w:rPr>
          <w:rFonts w:hint="default" w:ascii="宋体" w:hAnsi="宋体" w:cs="宋体"/>
          <w:bCs/>
          <w:szCs w:val="21"/>
          <w:highlight w:val="none"/>
          <w:lang w:eastAsia="zh-CN"/>
        </w:rPr>
        <w:t>为进一步推动</w:t>
      </w:r>
      <w:r>
        <w:rPr>
          <w:rFonts w:hint="eastAsia" w:ascii="宋体" w:hAnsi="宋体" w:cs="宋体"/>
          <w:bCs/>
          <w:szCs w:val="21"/>
          <w:highlight w:val="none"/>
          <w:lang w:val="en-US" w:eastAsia="zh-CN"/>
        </w:rPr>
        <w:t>新能源技术的应用，拟采用1号楼屋面闲置区域，建设分布式光伏发电系统，充分利用太阳能发电为医院提供绿色电力，减少医院市电的消耗，并实现屋顶遮阳隔热效果，间接降低空调系统的能耗。</w:t>
      </w:r>
    </w:p>
    <w:p>
      <w:pPr>
        <w:spacing w:line="340" w:lineRule="exact"/>
        <w:ind w:firstLine="420" w:firstLineChars="200"/>
        <w:jc w:val="left"/>
      </w:pPr>
      <w:r>
        <w:rPr>
          <w:b/>
          <w:bCs/>
        </w:rPr>
        <w:t>1.3</w:t>
      </w:r>
      <w:r>
        <w:t>本项目不接受联合体投标、不允许合同分包。</w:t>
      </w:r>
    </w:p>
    <w:p>
      <w:pPr>
        <w:spacing w:line="340" w:lineRule="exact"/>
        <w:ind w:firstLine="420" w:firstLineChars="200"/>
        <w:jc w:val="left"/>
        <w:rPr>
          <w:rFonts w:hint="default"/>
          <w:highlight w:val="yellow"/>
          <w:lang w:eastAsia="zh-CN"/>
        </w:rPr>
      </w:pPr>
      <w:r>
        <w:rPr>
          <w:b w:val="0"/>
          <w:bCs w:val="0"/>
          <w:highlight w:val="yellow"/>
        </w:rPr>
        <w:t>1.4</w:t>
      </w:r>
      <w:r>
        <w:rPr>
          <w:highlight w:val="yellow"/>
        </w:rPr>
        <w:t>项目相关现场照片见本需求书最后部分附图。</w:t>
      </w:r>
    </w:p>
    <w:p>
      <w:pPr>
        <w:spacing w:line="340" w:lineRule="exact"/>
        <w:jc w:val="left"/>
        <w:rPr>
          <w:rFonts w:hint="eastAsia" w:ascii="宋体" w:hAnsi="宋体" w:cs="宋体"/>
          <w:b/>
          <w:szCs w:val="21"/>
          <w:highlight w:val="none"/>
        </w:rPr>
      </w:pPr>
      <w:bookmarkStart w:id="0" w:name="_Toc138066956"/>
      <w:r>
        <w:rPr>
          <w:rFonts w:hint="eastAsia" w:ascii="宋体" w:hAnsi="宋体" w:cs="宋体"/>
          <w:b/>
          <w:szCs w:val="21"/>
          <w:highlight w:val="none"/>
          <w:lang w:val="en-US" w:eastAsia="zh-CN"/>
        </w:rPr>
        <w:t>二</w:t>
      </w:r>
      <w:r>
        <w:rPr>
          <w:rFonts w:hint="eastAsia" w:ascii="宋体" w:hAnsi="宋体" w:cs="宋体"/>
          <w:b/>
          <w:szCs w:val="21"/>
          <w:highlight w:val="none"/>
        </w:rPr>
        <w:t>、</w:t>
      </w:r>
      <w:bookmarkEnd w:id="0"/>
      <w:r>
        <w:rPr>
          <w:rFonts w:hint="eastAsia" w:ascii="宋体" w:hAnsi="宋体" w:cs="宋体"/>
          <w:b/>
          <w:szCs w:val="21"/>
          <w:highlight w:val="none"/>
        </w:rPr>
        <w:t>项目建设内容和技术要求</w:t>
      </w:r>
    </w:p>
    <w:p>
      <w:pPr>
        <w:spacing w:line="340" w:lineRule="exact"/>
        <w:ind w:firstLine="420" w:firstLineChars="200"/>
        <w:jc w:val="left"/>
        <w:rPr>
          <w:rFonts w:hint="eastAsia" w:ascii="宋体" w:hAnsi="宋体" w:cs="宋体"/>
          <w:b/>
          <w:szCs w:val="21"/>
          <w:highlight w:val="none"/>
        </w:rPr>
      </w:pPr>
      <w:r>
        <w:rPr>
          <w:rFonts w:hint="eastAsia" w:ascii="宋体" w:hAnsi="宋体" w:cs="宋体"/>
          <w:b/>
          <w:szCs w:val="21"/>
          <w:highlight w:val="none"/>
          <w:lang w:val="en-US" w:eastAsia="zh-CN"/>
        </w:rPr>
        <w:t>2</w:t>
      </w:r>
      <w:r>
        <w:rPr>
          <w:rFonts w:hint="eastAsia" w:ascii="宋体" w:hAnsi="宋体" w:cs="宋体"/>
          <w:b/>
          <w:szCs w:val="21"/>
          <w:highlight w:val="none"/>
        </w:rPr>
        <w:t>.1项目建设内容</w:t>
      </w:r>
    </w:p>
    <w:p>
      <w:pPr>
        <w:spacing w:line="340" w:lineRule="exact"/>
        <w:ind w:firstLine="420" w:firstLineChars="200"/>
        <w:jc w:val="left"/>
        <w:rPr>
          <w:rFonts w:hint="eastAsia" w:ascii="宋体" w:hAnsi="宋体" w:cs="宋体"/>
          <w:bCs/>
          <w:szCs w:val="21"/>
          <w:highlight w:val="none"/>
        </w:rPr>
      </w:pPr>
      <w:r>
        <w:rPr>
          <w:rFonts w:hint="eastAsia" w:ascii="宋体" w:hAnsi="宋体" w:cs="宋体"/>
          <w:bCs/>
          <w:szCs w:val="21"/>
          <w:highlight w:val="none"/>
        </w:rPr>
        <w:t>项目拟在医院1号楼屋顶实施，采用架设高支架再安装光伏组件。组件均采用架高满铺安装，并做物理导水防水，不占用原来屋顶使用空间，预计光伏建设面积330平方米</w:t>
      </w:r>
      <w:r>
        <w:rPr>
          <w:rFonts w:hint="default" w:ascii="宋体" w:hAnsi="宋体" w:cs="宋体"/>
          <w:bCs/>
          <w:szCs w:val="21"/>
          <w:highlight w:val="none"/>
        </w:rPr>
        <w:t>，</w:t>
      </w:r>
      <w:r>
        <w:rPr>
          <w:rFonts w:hint="eastAsia" w:ascii="宋体" w:hAnsi="宋体" w:cs="宋体"/>
          <w:bCs/>
          <w:szCs w:val="21"/>
          <w:highlight w:val="none"/>
        </w:rPr>
        <w:t>未覆盖光伏区域棚体部分，安装钢结构棚体树脂瓦雨棚，面积约120平方米，装机容量75.6kWp。光伏组件所发的直流电通过逆变器转换为交流电后，通过并网计量柜接入院区0.4kV低压母线并网，</w:t>
      </w:r>
      <w:r>
        <w:rPr>
          <w:rFonts w:hint="eastAsia" w:ascii="宋体" w:hAnsi="宋体" w:cs="宋体"/>
          <w:bCs/>
          <w:szCs w:val="21"/>
          <w:highlight w:val="none"/>
          <w:lang w:val="en-US" w:eastAsia="zh-CN"/>
        </w:rPr>
        <w:t>且</w:t>
      </w:r>
      <w:r>
        <w:rPr>
          <w:rFonts w:hint="eastAsia" w:ascii="宋体" w:hAnsi="宋体" w:cs="宋体"/>
          <w:bCs/>
          <w:szCs w:val="21"/>
          <w:highlight w:val="none"/>
        </w:rPr>
        <w:t>并网符合南网规定。</w:t>
      </w:r>
    </w:p>
    <w:p>
      <w:pPr>
        <w:spacing w:line="340" w:lineRule="exact"/>
        <w:ind w:firstLine="420" w:firstLineChars="200"/>
        <w:jc w:val="left"/>
        <w:rPr>
          <w:rFonts w:hint="default" w:ascii="宋体" w:hAnsi="宋体" w:cs="宋体"/>
          <w:b/>
          <w:bCs/>
          <w:szCs w:val="21"/>
          <w:highlight w:val="none"/>
        </w:rPr>
      </w:pPr>
      <w:r>
        <w:rPr>
          <w:rFonts w:hint="eastAsia" w:ascii="宋体" w:hAnsi="宋体" w:cs="宋体"/>
          <w:b/>
          <w:szCs w:val="21"/>
          <w:highlight w:val="none"/>
          <w:lang w:val="en-US" w:eastAsia="zh-CN"/>
        </w:rPr>
        <w:t>2</w:t>
      </w:r>
      <w:r>
        <w:rPr>
          <w:rFonts w:hint="eastAsia" w:ascii="宋体" w:hAnsi="宋体" w:cs="宋体"/>
          <w:b/>
          <w:szCs w:val="21"/>
          <w:highlight w:val="none"/>
        </w:rPr>
        <w:t>.</w:t>
      </w:r>
      <w:r>
        <w:rPr>
          <w:rFonts w:hint="eastAsia" w:ascii="宋体" w:hAnsi="宋体" w:cs="宋体"/>
          <w:b/>
          <w:szCs w:val="21"/>
          <w:highlight w:val="none"/>
          <w:lang w:val="en-US" w:eastAsia="zh-CN"/>
        </w:rPr>
        <w:t>2 项目</w:t>
      </w:r>
      <w:r>
        <w:rPr>
          <w:rFonts w:hint="eastAsia" w:ascii="宋体" w:hAnsi="宋体" w:cs="宋体"/>
          <w:b/>
          <w:szCs w:val="21"/>
          <w:highlight w:val="none"/>
        </w:rPr>
        <w:t>主要清单</w:t>
      </w:r>
      <w:r>
        <w:rPr>
          <w:b/>
          <w:bCs/>
        </w:rPr>
        <w:t>（请供应商依据本清单内容逐项分项报价及提供总报价）</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331"/>
        <w:gridCol w:w="4687"/>
        <w:gridCol w:w="915"/>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blHeader/>
          <w:jc w:val="center"/>
        </w:trPr>
        <w:tc>
          <w:tcPr>
            <w:tcW w:w="386"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bookmarkStart w:id="1" w:name="OLE_LINK1"/>
            <w:r>
              <w:rPr>
                <w:rStyle w:val="13"/>
                <w:rFonts w:hint="default" w:ascii="Times New Roman" w:hAnsi="Times New Roman" w:eastAsia="宋体" w:cs="Times New Roman"/>
                <w:b w:val="0"/>
                <w:bCs/>
                <w:sz w:val="21"/>
                <w:szCs w:val="21"/>
                <w:lang w:val="en-US" w:eastAsia="zh-CN" w:bidi="ar"/>
              </w:rPr>
              <w:t>序号</w:t>
            </w:r>
          </w:p>
        </w:tc>
        <w:tc>
          <w:tcPr>
            <w:tcW w:w="781"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Style w:val="13"/>
                <w:rFonts w:hint="default" w:ascii="Times New Roman" w:hAnsi="Times New Roman" w:eastAsia="宋体" w:cs="Times New Roman"/>
                <w:b w:val="0"/>
                <w:bCs/>
                <w:sz w:val="21"/>
                <w:szCs w:val="21"/>
                <w:lang w:val="en-US" w:eastAsia="zh-CN" w:bidi="ar"/>
              </w:rPr>
              <w:t>分项名称</w:t>
            </w:r>
          </w:p>
        </w:tc>
        <w:tc>
          <w:tcPr>
            <w:tcW w:w="2750"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Style w:val="13"/>
                <w:rFonts w:hint="default" w:ascii="Times New Roman" w:hAnsi="Times New Roman" w:eastAsia="宋体" w:cs="Times New Roman"/>
                <w:b w:val="0"/>
                <w:bCs/>
                <w:sz w:val="21"/>
                <w:szCs w:val="21"/>
                <w:lang w:val="en-US" w:eastAsia="zh-CN" w:bidi="ar"/>
              </w:rPr>
              <w:t>规格参数</w:t>
            </w:r>
          </w:p>
        </w:tc>
        <w:tc>
          <w:tcPr>
            <w:tcW w:w="537"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Style w:val="13"/>
                <w:rFonts w:hint="default" w:ascii="Times New Roman" w:hAnsi="Times New Roman" w:eastAsia="宋体" w:cs="Times New Roman"/>
                <w:b w:val="0"/>
                <w:bCs/>
                <w:sz w:val="21"/>
                <w:szCs w:val="21"/>
                <w:lang w:val="en-US" w:eastAsia="zh-CN" w:bidi="ar"/>
              </w:rPr>
              <w:t>单位</w:t>
            </w:r>
          </w:p>
        </w:tc>
        <w:tc>
          <w:tcPr>
            <w:tcW w:w="545"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Style w:val="13"/>
                <w:rFonts w:hint="default" w:ascii="Times New Roman" w:hAnsi="Times New Roman" w:eastAsia="宋体" w:cs="Times New Roman"/>
                <w:b w:val="0"/>
                <w:bCs/>
                <w:sz w:val="21"/>
                <w:szCs w:val="21"/>
                <w:lang w:val="en-US" w:eastAsia="zh-CN"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386"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rPr>
            </w:pPr>
            <w:r>
              <w:rPr>
                <w:rFonts w:hint="default" w:ascii="Times New Roman" w:hAnsi="Times New Roman" w:eastAsia="宋体" w:cs="Times New Roman"/>
                <w:b w:val="0"/>
                <w:bCs/>
                <w:color w:val="auto"/>
                <w:sz w:val="21"/>
                <w:szCs w:val="21"/>
                <w:shd w:val="clear" w:color="auto" w:fill="FFFFFF"/>
                <w:lang w:val="en-US" w:eastAsia="zh-CN"/>
              </w:rPr>
              <w:t>1</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rPr>
            </w:pPr>
            <w:r>
              <w:rPr>
                <w:rFonts w:hint="eastAsia" w:ascii="Times New Roman" w:hAnsi="Times New Roman" w:eastAsia="宋体" w:cs="Times New Roman"/>
                <w:b w:val="0"/>
                <w:bCs/>
                <w:color w:val="auto"/>
                <w:sz w:val="21"/>
                <w:szCs w:val="21"/>
                <w:shd w:val="clear" w:color="auto" w:fill="FFFFFF"/>
                <w:lang w:val="en-US" w:eastAsia="zh-CN"/>
              </w:rPr>
              <w:t>光伏</w:t>
            </w:r>
            <w:r>
              <w:rPr>
                <w:rFonts w:hint="default" w:ascii="Times New Roman" w:hAnsi="Times New Roman" w:eastAsia="宋体" w:cs="Times New Roman"/>
                <w:b w:val="0"/>
                <w:bCs/>
                <w:color w:val="auto"/>
                <w:sz w:val="21"/>
                <w:szCs w:val="21"/>
                <w:shd w:val="clear" w:color="auto" w:fill="FFFFFF"/>
                <w:lang w:val="en-US" w:eastAsia="zh-CN"/>
              </w:rPr>
              <w:t>组件</w:t>
            </w:r>
            <w:r>
              <w:rPr>
                <w:rFonts w:hint="eastAsia" w:ascii="宋体" w:hAnsi="宋体" w:cs="宋体"/>
                <w:bCs/>
                <w:szCs w:val="21"/>
              </w:rPr>
              <w:sym w:font="Wingdings 2" w:char="00A3"/>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color w:val="auto"/>
                <w:sz w:val="21"/>
                <w:szCs w:val="21"/>
                <w:shd w:val="clear" w:color="auto" w:fill="FFFFFF"/>
              </w:rPr>
            </w:pPr>
            <w:r>
              <w:rPr>
                <w:rFonts w:hint="default" w:ascii="Times New Roman" w:hAnsi="Times New Roman" w:eastAsia="宋体" w:cs="Times New Roman"/>
                <w:b w:val="0"/>
                <w:bCs/>
                <w:color w:val="auto"/>
                <w:sz w:val="21"/>
                <w:szCs w:val="21"/>
                <w:shd w:val="clear" w:color="auto" w:fill="FFFFFF"/>
                <w:lang w:val="en-US" w:eastAsia="zh-CN"/>
              </w:rPr>
              <w:t>单晶组件，630Wp，最高组件效率不低于22%，首年衰减率不高于1%，逐年功率衰减率不高于0.40%</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lang w:val="en-US" w:eastAsia="zh-CN"/>
              </w:rPr>
            </w:pPr>
            <w:r>
              <w:rPr>
                <w:rFonts w:hint="default" w:ascii="Times New Roman" w:hAnsi="Times New Roman" w:eastAsia="宋体" w:cs="Times New Roman"/>
                <w:b w:val="0"/>
                <w:bCs/>
                <w:color w:val="auto"/>
                <w:sz w:val="21"/>
                <w:szCs w:val="21"/>
                <w:shd w:val="clear" w:color="auto" w:fill="FFFFFF"/>
                <w:lang w:val="en-US" w:eastAsia="zh-CN"/>
              </w:rPr>
              <w:t>kWp</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lang w:val="en-US" w:eastAsia="zh-CN"/>
              </w:rPr>
            </w:pPr>
            <w:r>
              <w:rPr>
                <w:rFonts w:hint="default" w:ascii="Times New Roman" w:hAnsi="Times New Roman" w:eastAsia="宋体" w:cs="Times New Roman"/>
                <w:b w:val="0"/>
                <w:bCs/>
                <w:color w:val="auto"/>
                <w:sz w:val="21"/>
                <w:szCs w:val="21"/>
                <w:shd w:val="clear" w:color="auto" w:fill="FFFFFF"/>
                <w:lang w:val="en-US" w:eastAsia="zh-CN"/>
              </w:rPr>
              <w:t>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6"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rPr>
            </w:pPr>
            <w:r>
              <w:rPr>
                <w:rFonts w:hint="default" w:ascii="Times New Roman" w:hAnsi="Times New Roman" w:eastAsia="宋体" w:cs="Times New Roman"/>
                <w:b w:val="0"/>
                <w:bCs/>
                <w:color w:val="auto"/>
                <w:sz w:val="21"/>
                <w:szCs w:val="21"/>
                <w:shd w:val="clear" w:color="auto" w:fill="FFFFFF"/>
                <w:lang w:val="en-US" w:eastAsia="zh-CN"/>
              </w:rPr>
              <w:t>2</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rPr>
            </w:pPr>
            <w:r>
              <w:rPr>
                <w:rFonts w:hint="default" w:ascii="Times New Roman" w:hAnsi="Times New Roman" w:eastAsia="宋体" w:cs="Times New Roman"/>
                <w:b w:val="0"/>
                <w:bCs/>
                <w:color w:val="auto"/>
                <w:sz w:val="21"/>
                <w:szCs w:val="21"/>
                <w:shd w:val="clear" w:color="auto" w:fill="FFFFFF"/>
                <w:lang w:val="en-US" w:eastAsia="zh-CN"/>
              </w:rPr>
              <w:t>逆变器</w:t>
            </w:r>
            <w:r>
              <w:rPr>
                <w:rFonts w:hint="eastAsia" w:ascii="宋体" w:hAnsi="宋体" w:cs="宋体"/>
                <w:bCs/>
                <w:szCs w:val="21"/>
              </w:rPr>
              <w:sym w:font="Wingdings 2" w:char="00A3"/>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color w:val="auto"/>
                <w:sz w:val="21"/>
                <w:szCs w:val="21"/>
                <w:shd w:val="clear" w:color="auto" w:fill="FFFFFF"/>
                <w:lang w:val="en-US" w:eastAsia="zh-CN"/>
              </w:rPr>
            </w:pPr>
            <w:r>
              <w:rPr>
                <w:rFonts w:hint="default" w:ascii="Times New Roman" w:hAnsi="Times New Roman" w:eastAsia="宋体" w:cs="Times New Roman"/>
                <w:b w:val="0"/>
                <w:bCs/>
                <w:color w:val="auto"/>
                <w:sz w:val="21"/>
                <w:szCs w:val="21"/>
                <w:shd w:val="clear" w:color="auto" w:fill="FFFFFF"/>
                <w:lang w:val="en-US" w:eastAsia="zh-CN"/>
              </w:rPr>
              <w:t>输出功率40kW，最大效率不低于98%，防护等级不低于IP66，具备多路MPPT功能</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lang w:val="en-US" w:eastAsia="zh-CN"/>
              </w:rPr>
            </w:pPr>
            <w:r>
              <w:rPr>
                <w:rFonts w:hint="default" w:ascii="Times New Roman" w:hAnsi="Times New Roman" w:eastAsia="宋体" w:cs="Times New Roman"/>
                <w:b w:val="0"/>
                <w:bCs/>
                <w:color w:val="auto"/>
                <w:sz w:val="21"/>
                <w:szCs w:val="21"/>
                <w:shd w:val="clear" w:color="auto" w:fill="FFFFFF"/>
                <w:lang w:val="en-US" w:eastAsia="zh-CN"/>
              </w:rPr>
              <w:t>台</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lang w:val="en-US" w:eastAsia="zh-CN"/>
              </w:rPr>
            </w:pPr>
            <w:r>
              <w:rPr>
                <w:rFonts w:hint="default" w:ascii="Times New Roman" w:hAnsi="Times New Roman" w:eastAsia="宋体" w:cs="Times New Roman"/>
                <w:b w:val="0"/>
                <w:bCs/>
                <w:color w:val="auto"/>
                <w:sz w:val="21"/>
                <w:szCs w:val="21"/>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6"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sz w:val="21"/>
                <w:szCs w:val="21"/>
                <w:shd w:val="clear" w:color="auto" w:fill="FFFFFF"/>
                <w:lang w:val="en-US" w:eastAsia="zh-CN"/>
              </w:rPr>
            </w:pPr>
            <w:r>
              <w:rPr>
                <w:rFonts w:hint="default" w:ascii="Times New Roman" w:hAnsi="Times New Roman" w:eastAsia="宋体" w:cs="Times New Roman"/>
                <w:b w:val="0"/>
                <w:bCs/>
                <w:color w:val="auto"/>
                <w:sz w:val="21"/>
                <w:szCs w:val="21"/>
                <w:shd w:val="clear" w:color="auto" w:fill="FFFFFF"/>
                <w:lang w:val="en-US" w:eastAsia="zh-CN"/>
              </w:rPr>
              <w:t>3</w:t>
            </w:r>
          </w:p>
        </w:tc>
        <w:tc>
          <w:tcPr>
            <w:tcW w:w="781" w:type="pct"/>
            <w:shd w:val="clear" w:color="auto" w:fill="auto"/>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kern w:val="0"/>
                <w:sz w:val="21"/>
                <w:szCs w:val="21"/>
                <w:shd w:val="clear" w:color="auto" w:fill="FFFFFF"/>
                <w:lang w:val="en-US" w:eastAsia="zh-CN" w:bidi="ar-SA"/>
              </w:rPr>
            </w:pPr>
            <w:r>
              <w:rPr>
                <w:rFonts w:hint="default" w:ascii="Times New Roman" w:hAnsi="Times New Roman" w:eastAsia="宋体" w:cs="Times New Roman"/>
                <w:b w:val="0"/>
                <w:bCs/>
                <w:color w:val="auto"/>
                <w:sz w:val="21"/>
                <w:szCs w:val="21"/>
                <w:shd w:val="clear" w:color="auto" w:fill="FFFFFF"/>
                <w:lang w:val="en-US" w:eastAsia="zh-CN"/>
              </w:rPr>
              <w:t>逆变器</w:t>
            </w:r>
          </w:p>
        </w:tc>
        <w:tc>
          <w:tcPr>
            <w:tcW w:w="2750" w:type="pct"/>
            <w:shd w:val="clear" w:color="auto" w:fill="auto"/>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color w:val="auto"/>
                <w:kern w:val="0"/>
                <w:sz w:val="21"/>
                <w:szCs w:val="21"/>
                <w:shd w:val="clear" w:color="auto" w:fill="FFFFFF"/>
                <w:lang w:val="en-US" w:eastAsia="zh-CN" w:bidi="ar-SA"/>
              </w:rPr>
            </w:pPr>
            <w:r>
              <w:rPr>
                <w:rFonts w:hint="default" w:ascii="Times New Roman" w:hAnsi="Times New Roman" w:eastAsia="宋体" w:cs="Times New Roman"/>
                <w:b w:val="0"/>
                <w:bCs/>
                <w:color w:val="auto"/>
                <w:sz w:val="21"/>
                <w:szCs w:val="21"/>
                <w:shd w:val="clear" w:color="auto" w:fill="FFFFFF"/>
                <w:lang w:val="en-US" w:eastAsia="zh-CN"/>
              </w:rPr>
              <w:t>输出功率30kW，最大效率不低于98%，防护等级不低于IP66，具备多路MPPT功能</w:t>
            </w:r>
          </w:p>
        </w:tc>
        <w:tc>
          <w:tcPr>
            <w:tcW w:w="537" w:type="pct"/>
            <w:shd w:val="clear" w:color="auto" w:fill="auto"/>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kern w:val="0"/>
                <w:sz w:val="21"/>
                <w:szCs w:val="21"/>
                <w:shd w:val="clear" w:color="auto" w:fill="FFFFFF"/>
                <w:lang w:val="en-US" w:eastAsia="zh-CN" w:bidi="ar-SA"/>
              </w:rPr>
            </w:pPr>
            <w:r>
              <w:rPr>
                <w:rFonts w:hint="default" w:ascii="Times New Roman" w:hAnsi="Times New Roman" w:eastAsia="宋体" w:cs="Times New Roman"/>
                <w:b w:val="0"/>
                <w:bCs/>
                <w:color w:val="auto"/>
                <w:sz w:val="21"/>
                <w:szCs w:val="21"/>
                <w:shd w:val="clear" w:color="auto" w:fill="FFFFFF"/>
                <w:lang w:val="en-US" w:eastAsia="zh-CN"/>
              </w:rPr>
              <w:t>台</w:t>
            </w:r>
          </w:p>
        </w:tc>
        <w:tc>
          <w:tcPr>
            <w:tcW w:w="545" w:type="pct"/>
            <w:shd w:val="clear" w:color="auto" w:fill="auto"/>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color w:val="auto"/>
                <w:kern w:val="0"/>
                <w:sz w:val="21"/>
                <w:szCs w:val="21"/>
                <w:shd w:val="clear" w:color="auto" w:fill="FFFFFF"/>
                <w:lang w:val="en-US" w:eastAsia="zh-CN" w:bidi="ar-SA"/>
              </w:rPr>
            </w:pPr>
            <w:r>
              <w:rPr>
                <w:rFonts w:hint="default" w:ascii="Times New Roman" w:hAnsi="Times New Roman" w:eastAsia="宋体" w:cs="Times New Roman"/>
                <w:b w:val="0"/>
                <w:bCs/>
                <w:color w:val="auto"/>
                <w:sz w:val="21"/>
                <w:szCs w:val="21"/>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386"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sz w:val="21"/>
                <w:szCs w:val="21"/>
                <w:shd w:val="clear" w:color="auto" w:fill="FFFFFF"/>
                <w:lang w:val="en-US" w:eastAsia="zh-CN"/>
              </w:rPr>
              <w:t>4</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sz w:val="21"/>
                <w:szCs w:val="21"/>
                <w:shd w:val="clear" w:color="auto" w:fill="FFFFFF"/>
                <w:lang w:val="en-US" w:eastAsia="zh-CN"/>
              </w:rPr>
              <w:t>光伏并网柜</w:t>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sz w:val="21"/>
                <w:szCs w:val="21"/>
                <w:shd w:val="clear" w:color="auto" w:fill="FFFFFF"/>
                <w:lang w:val="en-US"/>
              </w:rPr>
            </w:pPr>
            <w:r>
              <w:rPr>
                <w:rFonts w:hint="default" w:ascii="Times New Roman" w:hAnsi="Times New Roman" w:eastAsia="宋体" w:cs="Times New Roman"/>
                <w:b w:val="0"/>
                <w:bCs/>
                <w:sz w:val="21"/>
                <w:szCs w:val="21"/>
                <w:shd w:val="clear" w:color="auto" w:fill="FFFFFF"/>
                <w:lang w:val="en-US" w:eastAsia="zh-CN"/>
              </w:rPr>
              <w:t>2进1出，满足南网并网规范要求</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个</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6"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sz w:val="21"/>
                <w:szCs w:val="21"/>
                <w:shd w:val="clear" w:color="auto" w:fill="FFFFFF"/>
                <w:lang w:val="en-US" w:eastAsia="zh-CN"/>
              </w:rPr>
              <w:t>5</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sz w:val="21"/>
                <w:szCs w:val="21"/>
                <w:shd w:val="clear" w:color="auto" w:fill="FFFFFF"/>
                <w:lang w:val="en-US" w:eastAsia="zh-CN"/>
              </w:rPr>
              <w:t>直流交流部分</w:t>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sz w:val="21"/>
                <w:szCs w:val="21"/>
                <w:shd w:val="clear" w:color="auto" w:fill="FFFFFF"/>
                <w:lang w:val="en-US" w:eastAsia="zh-CN"/>
              </w:rPr>
              <w:t>直流电缆、交流电缆、接地线、穿线管、桥架及连接件</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项</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6"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i w:val="0"/>
                <w:iCs w:val="0"/>
                <w:color w:val="000000"/>
                <w:kern w:val="0"/>
                <w:sz w:val="21"/>
                <w:szCs w:val="21"/>
                <w:u w:val="none"/>
                <w:lang w:val="en-US" w:eastAsia="zh-CN" w:bidi="ar"/>
              </w:rPr>
              <w:t>6</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钢架及支架配件辅材</w:t>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热镀锌钢、防水导轨、压块，化学螺栓、不锈钢201水槽，焊条，油漆等、托架、油漆、自攻钉、不锈钢螺栓等辅材</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项</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6"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i w:val="0"/>
                <w:iCs w:val="0"/>
                <w:color w:val="000000"/>
                <w:kern w:val="0"/>
                <w:sz w:val="21"/>
                <w:szCs w:val="21"/>
                <w:u w:val="none"/>
                <w:lang w:val="en-US" w:eastAsia="zh-CN" w:bidi="ar"/>
              </w:rPr>
              <w:t>7</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设备及系统安装</w:t>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sz w:val="21"/>
                <w:szCs w:val="21"/>
                <w:shd w:val="clear" w:color="auto" w:fill="FFFFFF"/>
                <w:lang w:eastAsia="zh-CN"/>
              </w:rPr>
            </w:pPr>
            <w:r>
              <w:rPr>
                <w:rFonts w:hint="default" w:ascii="Times New Roman" w:hAnsi="Times New Roman" w:eastAsia="宋体" w:cs="Times New Roman"/>
                <w:b w:val="0"/>
                <w:bCs/>
                <w:sz w:val="21"/>
                <w:szCs w:val="21"/>
                <w:shd w:val="clear" w:color="auto" w:fill="FFFFFF"/>
                <w:lang w:val="en-US" w:eastAsia="zh-CN"/>
              </w:rPr>
              <w:t>光伏系统相关设备及配套安装调试，含设备、材料运输、搬运、吊装</w:t>
            </w:r>
            <w:r>
              <w:rPr>
                <w:rFonts w:hint="default" w:ascii="Times New Roman" w:hAnsi="Times New Roman" w:cs="Times New Roman"/>
                <w:b w:val="0"/>
                <w:bCs/>
                <w:sz w:val="21"/>
                <w:szCs w:val="21"/>
                <w:shd w:val="clear" w:color="auto" w:fill="FFFFFF"/>
                <w:lang w:eastAsia="zh-CN"/>
              </w:rPr>
              <w:t>；其安装调试需遵循国家标准（ GB50794-2012《光伏发电站施工规范》、GB/T50312-2016《综合布线工程验收规范》）及行业规范，确保系统安全、高效运行。</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项</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6"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i w:val="0"/>
                <w:iCs w:val="0"/>
                <w:color w:val="000000"/>
                <w:kern w:val="0"/>
                <w:sz w:val="21"/>
                <w:szCs w:val="21"/>
                <w:u w:val="none"/>
                <w:lang w:val="en-US" w:eastAsia="zh-CN" w:bidi="ar"/>
              </w:rPr>
              <w:t>8</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设计并网及其它部分</w:t>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按照相关设计规范设计、并网服务</w:t>
            </w:r>
            <w:r>
              <w:rPr>
                <w:rFonts w:hint="default" w:ascii="Times New Roman" w:hAnsi="Times New Roman" w:cs="Times New Roman"/>
                <w:b w:val="0"/>
                <w:bCs/>
                <w:sz w:val="21"/>
                <w:szCs w:val="21"/>
                <w:shd w:val="clear" w:color="auto" w:fill="FFFFFF"/>
                <w:lang w:eastAsia="zh-CN"/>
              </w:rPr>
              <w:t>、完成报批报建手续</w:t>
            </w:r>
            <w:r>
              <w:rPr>
                <w:rFonts w:hint="default" w:ascii="Times New Roman" w:hAnsi="Times New Roman" w:eastAsia="宋体" w:cs="Times New Roman"/>
                <w:b w:val="0"/>
                <w:bCs/>
                <w:sz w:val="21"/>
                <w:szCs w:val="21"/>
                <w:shd w:val="clear" w:color="auto" w:fill="FFFFFF"/>
                <w:lang w:val="en-US" w:eastAsia="zh-CN"/>
              </w:rPr>
              <w:t>等</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项</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6" w:type="pct"/>
            <w:noWrap w:val="0"/>
            <w:vAlign w:val="center"/>
          </w:tcPr>
          <w:p>
            <w:pPr>
              <w:keepNext w:val="0"/>
              <w:keepLines w:val="0"/>
              <w:pageBreakBefore w:val="0"/>
              <w:widowControl/>
              <w:suppressLineNumbers w:val="0"/>
              <w:kinsoku/>
              <w:overflowPunct/>
              <w:topLinePunct w:val="0"/>
              <w:autoSpaceDE/>
              <w:autoSpaceDN/>
              <w:bidi w:val="0"/>
              <w:spacing w:line="360" w:lineRule="auto"/>
              <w:jc w:val="center"/>
              <w:textAlignment w:val="center"/>
              <w:rPr>
                <w:rFonts w:hint="default" w:ascii="Times New Roman" w:hAnsi="Times New Roman" w:eastAsia="宋体" w:cs="Times New Roman"/>
                <w:b w:val="0"/>
                <w:bCs/>
                <w:sz w:val="21"/>
                <w:szCs w:val="21"/>
                <w:shd w:val="clear" w:color="auto" w:fill="FFFFFF"/>
              </w:rPr>
            </w:pPr>
            <w:r>
              <w:rPr>
                <w:rFonts w:hint="default" w:ascii="Times New Roman" w:hAnsi="Times New Roman" w:eastAsia="宋体" w:cs="Times New Roman"/>
                <w:b w:val="0"/>
                <w:bCs/>
                <w:i w:val="0"/>
                <w:iCs w:val="0"/>
                <w:color w:val="000000"/>
                <w:kern w:val="0"/>
                <w:sz w:val="21"/>
                <w:szCs w:val="21"/>
                <w:u w:val="none"/>
                <w:lang w:val="en-US" w:eastAsia="zh-CN" w:bidi="ar"/>
              </w:rPr>
              <w:t>9</w:t>
            </w:r>
          </w:p>
        </w:tc>
        <w:tc>
          <w:tcPr>
            <w:tcW w:w="781"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未覆盖光伏区域棚体部分</w:t>
            </w:r>
          </w:p>
        </w:tc>
        <w:tc>
          <w:tcPr>
            <w:tcW w:w="2750"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both"/>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安装钢结构棚体树脂瓦雨棚，面积约120平方米</w:t>
            </w:r>
          </w:p>
        </w:tc>
        <w:tc>
          <w:tcPr>
            <w:tcW w:w="537"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项</w:t>
            </w:r>
          </w:p>
        </w:tc>
        <w:tc>
          <w:tcPr>
            <w:tcW w:w="545" w:type="pct"/>
            <w:noWrap w:val="0"/>
            <w:vAlign w:val="center"/>
          </w:tcPr>
          <w:p>
            <w:pPr>
              <w:pStyle w:val="7"/>
              <w:keepNext w:val="0"/>
              <w:keepLines w:val="0"/>
              <w:pageBreakBefore w:val="0"/>
              <w:widowControl/>
              <w:kinsoku/>
              <w:wordWrap w:val="0"/>
              <w:overflowPunct/>
              <w:topLinePunct w:val="0"/>
              <w:autoSpaceDE/>
              <w:autoSpaceDN/>
              <w:bidi w:val="0"/>
              <w:snapToGrid w:val="0"/>
              <w:spacing w:before="0" w:beforeAutospacing="0" w:after="0" w:afterAutospacing="0" w:line="360" w:lineRule="auto"/>
              <w:jc w:val="center"/>
              <w:rPr>
                <w:rFonts w:hint="default" w:ascii="Times New Roman" w:hAnsi="Times New Roman" w:eastAsia="宋体" w:cs="Times New Roman"/>
                <w:b w:val="0"/>
                <w:bCs/>
                <w:sz w:val="21"/>
                <w:szCs w:val="21"/>
                <w:shd w:val="clear" w:color="auto" w:fill="FFFFFF"/>
                <w:lang w:val="en-US" w:eastAsia="zh-CN"/>
              </w:rPr>
            </w:pPr>
            <w:r>
              <w:rPr>
                <w:rFonts w:hint="default" w:ascii="Times New Roman" w:hAnsi="Times New Roman" w:eastAsia="宋体" w:cs="Times New Roman"/>
                <w:b w:val="0"/>
                <w:bCs/>
                <w:sz w:val="21"/>
                <w:szCs w:val="21"/>
                <w:shd w:val="clear" w:color="auto" w:fill="FFFFFF"/>
                <w:lang w:val="en-US" w:eastAsia="zh-CN"/>
              </w:rPr>
              <w:t>1</w:t>
            </w:r>
          </w:p>
        </w:tc>
      </w:tr>
      <w:bookmarkEnd w:id="1"/>
    </w:tbl>
    <w:p>
      <w:pPr>
        <w:spacing w:line="340" w:lineRule="exact"/>
        <w:ind w:firstLine="420" w:firstLineChars="200"/>
        <w:jc w:val="left"/>
        <w:rPr>
          <w:rFonts w:hint="default" w:ascii="宋体" w:hAnsi="宋体" w:cs="宋体"/>
          <w:b/>
          <w:szCs w:val="21"/>
        </w:rPr>
      </w:pPr>
      <w:r>
        <w:rPr>
          <w:rFonts w:hint="eastAsia" w:ascii="宋体" w:hAnsi="宋体" w:cs="宋体"/>
          <w:b/>
          <w:szCs w:val="21"/>
          <w:lang w:val="en-US" w:eastAsia="zh-CN"/>
        </w:rPr>
        <w:t>2</w:t>
      </w:r>
      <w:r>
        <w:rPr>
          <w:rFonts w:hint="eastAsia" w:ascii="宋体" w:hAnsi="宋体" w:cs="宋体"/>
          <w:b/>
          <w:szCs w:val="21"/>
        </w:rPr>
        <w:t>.</w:t>
      </w:r>
      <w:r>
        <w:rPr>
          <w:rFonts w:hint="eastAsia" w:ascii="宋体" w:hAnsi="宋体" w:cs="宋体"/>
          <w:b/>
          <w:szCs w:val="21"/>
          <w:lang w:val="en-US" w:eastAsia="zh-CN"/>
        </w:rPr>
        <w:t>3技术要求</w:t>
      </w:r>
      <w:r>
        <w:rPr>
          <w:rFonts w:hint="default" w:ascii="宋体" w:hAnsi="宋体" w:cs="宋体"/>
          <w:b/>
          <w:szCs w:val="21"/>
          <w:lang w:eastAsia="zh-CN"/>
        </w:rPr>
        <w:t>（光伏组件、逆变器需提供产品说明书或相关资料）</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（1）采用单晶硅光伏组件，组件效率不低于22%，首年衰减率不高于1%，逐年功率衰减率不高于0.4%。</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（2）光伏组件工作温度范围为-40℃～+85℃，初始功率（出厂前）不低于组件标称功率，组件功率正公差。</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（3）光伏组件25年线性质保，光伏组件防护等级应不低于IP65。</w:t>
      </w:r>
    </w:p>
    <w:p>
      <w:pPr>
        <w:spacing w:line="340" w:lineRule="exact"/>
        <w:ind w:firstLine="420" w:firstLineChars="200"/>
        <w:jc w:val="left"/>
        <w:rPr>
          <w:rFonts w:hint="eastAsia"/>
          <w:color w:val="000000"/>
          <w:sz w:val="21"/>
          <w:szCs w:val="21"/>
          <w:highlight w:val="yellow"/>
          <w:lang w:val="en-US" w:eastAsia="zh-CN"/>
        </w:rPr>
      </w:pPr>
      <w:r>
        <w:rPr>
          <w:rFonts w:hint="eastAsia"/>
          <w:color w:val="000000"/>
          <w:sz w:val="21"/>
          <w:szCs w:val="21"/>
          <w:highlight w:val="yellow"/>
          <w:lang w:val="en-US" w:eastAsia="zh-CN"/>
        </w:rPr>
        <w:t>（4）电池组件正面可承受最大静载荷（雪载荷）5400Pa，背面最大静载荷（风载荷）2400Pa，机械载荷试验满足IEC61215相关规定。</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（5）采用组串式逆变器具有过载、短路保护，直流输入反接保护，孤岛效应保护，电网过欠压保护和电网过欠频保护，直流漏电保护和抗雷击保护等；</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（6）逆变器最大逆变效率≥98%，具备在项目所在地的环境中长期持续过载10%的运行能力。</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（7）逆变器具备不少于2路的最大功率点跟踪（MPPT）。</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（8）逆变器在环境温度为-25℃～+60℃，相对湿度0-100%，其防护等级应达到IP65。</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（9）逆变器具备无功补偿功能，保证用电功率因数在超前0.8~滞后0.8区间内连续可调。</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（10）项目应</w:t>
      </w:r>
      <w:r>
        <w:rPr>
          <w:rFonts w:hint="default"/>
          <w:color w:val="000000"/>
          <w:sz w:val="21"/>
          <w:szCs w:val="21"/>
          <w:lang w:eastAsia="zh-CN"/>
        </w:rPr>
        <w:t>具备</w:t>
      </w:r>
      <w:r>
        <w:rPr>
          <w:rFonts w:hint="eastAsia"/>
          <w:color w:val="000000"/>
          <w:sz w:val="21"/>
          <w:szCs w:val="21"/>
          <w:lang w:val="en-US" w:eastAsia="zh-CN"/>
        </w:rPr>
        <w:t>防雷接地系统，用于保护光伏组件、支架免受直击雷损毁。</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（11）逆变器应配置有APP监控系统，实时监控逆变器运行数据，实现对光伏系统的实时运维监控。</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（12）采用镀锌钢结构支撑棚架，满足光伏系统安装承重需求，顶棚部分安装防水导轨，用于固定光伏组件。</w:t>
      </w:r>
    </w:p>
    <w:p>
      <w:pPr>
        <w:spacing w:line="340" w:lineRule="exact"/>
        <w:ind w:firstLine="420" w:firstLineChars="200"/>
        <w:jc w:val="left"/>
        <w:rPr>
          <w:rFonts w:hint="eastAsia"/>
          <w:color w:val="000000"/>
          <w:sz w:val="21"/>
          <w:szCs w:val="21"/>
          <w:lang w:val="en-US" w:eastAsia="zh-CN"/>
        </w:rPr>
      </w:pPr>
      <w:r>
        <w:rPr>
          <w:rFonts w:hint="eastAsia"/>
          <w:color w:val="000000"/>
          <w:sz w:val="21"/>
          <w:szCs w:val="21"/>
          <w:lang w:val="en-US" w:eastAsia="zh-CN"/>
        </w:rPr>
        <w:t>（13）项目采用</w:t>
      </w:r>
      <w:r>
        <w:rPr>
          <w:rFonts w:hint="eastAsia" w:ascii="宋体" w:hAnsi="宋体" w:eastAsia="宋体" w:cs="宋体"/>
          <w:bCs/>
          <w:szCs w:val="21"/>
          <w:highlight w:val="none"/>
        </w:rPr>
        <w:t>“自发自用，余电上网”方式</w:t>
      </w:r>
      <w:r>
        <w:rPr>
          <w:rFonts w:hint="eastAsia" w:ascii="宋体" w:hAnsi="宋体" w:cs="宋体"/>
          <w:bCs/>
          <w:szCs w:val="21"/>
          <w:highlight w:val="none"/>
          <w:lang w:eastAsia="zh-CN"/>
        </w:rPr>
        <w:t>，</w:t>
      </w:r>
      <w:r>
        <w:rPr>
          <w:rFonts w:hint="eastAsia" w:ascii="宋体" w:hAnsi="宋体" w:eastAsia="宋体" w:cs="宋体"/>
          <w:bCs/>
          <w:szCs w:val="21"/>
          <w:highlight w:val="none"/>
        </w:rPr>
        <w:t>在低压配电室内新增光伏并网计量柜，光伏系统的光伏出线经交流汇流后，接入新建光伏并网计量柜上，再通过低压配电室后供医院各用能设备使用。</w:t>
      </w: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2</w:t>
      </w:r>
      <w:r>
        <w:rPr>
          <w:rFonts w:hint="eastAsia" w:ascii="宋体" w:hAnsi="宋体" w:cs="宋体"/>
          <w:b/>
          <w:szCs w:val="21"/>
        </w:rPr>
        <w:t>.</w:t>
      </w:r>
      <w:r>
        <w:rPr>
          <w:rFonts w:hint="eastAsia" w:ascii="宋体" w:hAnsi="宋体" w:cs="宋体"/>
          <w:b/>
          <w:szCs w:val="21"/>
          <w:lang w:val="en-US" w:eastAsia="zh-CN"/>
        </w:rPr>
        <w:t>3</w:t>
      </w:r>
      <w:r>
        <w:rPr>
          <w:rFonts w:hint="eastAsia" w:ascii="宋体" w:hAnsi="宋体" w:cs="宋体"/>
          <w:b/>
          <w:szCs w:val="21"/>
        </w:rPr>
        <w:t>货物要求</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1）中标供应商须保证响应货物（设备）是已注册品牌制造商原装、全新、未曾使用过的，其质量、规格及技术特征符合国家及采购文件中规定的有关质量标准的货物。中标供应商必须对交付的货物在免费质保期内及保修期外承担质量保修责任。</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（2）货物制造质量出现问题，中标供应商负责提供三包（包修、包换、包退）服务。</w:t>
      </w:r>
    </w:p>
    <w:p>
      <w:pPr>
        <w:spacing w:line="340" w:lineRule="exact"/>
        <w:ind w:firstLine="420" w:firstLineChars="200"/>
        <w:jc w:val="left"/>
        <w:rPr>
          <w:rFonts w:hint="eastAsia" w:ascii="宋体" w:hAnsi="宋体" w:cs="宋体"/>
          <w:b/>
          <w:szCs w:val="21"/>
          <w:lang w:val="en-US" w:eastAsia="zh-CN"/>
        </w:rPr>
      </w:pPr>
      <w:r>
        <w:rPr>
          <w:rFonts w:hint="eastAsia" w:ascii="宋体" w:hAnsi="宋体" w:cs="宋体"/>
          <w:bCs/>
          <w:szCs w:val="21"/>
        </w:rPr>
        <w:t>（3）中标供应商须保证采购人在中华人民共和国境内使用产品、技术、服务或其任何一部分时，不会产生因第三方提出侵犯其专利权或其它知识产权而引起的法律和经济纠纷。</w:t>
      </w:r>
    </w:p>
    <w:p>
      <w:pPr>
        <w:spacing w:line="340" w:lineRule="exact"/>
        <w:ind w:firstLine="420" w:firstLineChars="200"/>
        <w:jc w:val="left"/>
        <w:rPr>
          <w:rFonts w:hint="eastAsia" w:ascii="宋体" w:hAnsi="宋体" w:eastAsia="宋体" w:cs="宋体"/>
          <w:b/>
          <w:szCs w:val="21"/>
          <w:lang w:val="en-US" w:eastAsia="zh-CN"/>
        </w:rPr>
      </w:pPr>
      <w:r>
        <w:rPr>
          <w:rFonts w:hint="eastAsia" w:ascii="宋体" w:hAnsi="宋体" w:cs="宋体"/>
          <w:b/>
          <w:szCs w:val="21"/>
          <w:lang w:val="en-US" w:eastAsia="zh-CN"/>
        </w:rPr>
        <w:t>2</w:t>
      </w:r>
      <w:r>
        <w:rPr>
          <w:rFonts w:hint="eastAsia" w:ascii="宋体" w:hAnsi="宋体" w:eastAsia="宋体" w:cs="宋体"/>
          <w:b/>
          <w:szCs w:val="21"/>
          <w:lang w:val="en-US" w:eastAsia="zh-CN"/>
        </w:rPr>
        <w:t>.4其它技术要求</w:t>
      </w:r>
    </w:p>
    <w:p>
      <w:pPr>
        <w:spacing w:line="340" w:lineRule="exact"/>
        <w:ind w:firstLine="420" w:firstLineChars="200"/>
        <w:jc w:val="left"/>
        <w:rPr>
          <w:rFonts w:hint="eastAsia"/>
          <w:lang w:val="en-US" w:eastAsia="zh-CN"/>
        </w:rPr>
      </w:pPr>
      <w:r>
        <w:rPr>
          <w:rFonts w:hint="eastAsia"/>
          <w:lang w:val="en-US" w:eastAsia="zh-CN"/>
        </w:rPr>
        <w:t>中标供应商应基于项目内容根据采购人的需求，协助采购人开展包括项目相关专项资金申报材料编制、节能成果申报验收资料准备等节能增值技术服务。</w:t>
      </w:r>
    </w:p>
    <w:p>
      <w:pPr>
        <w:spacing w:line="340" w:lineRule="exact"/>
        <w:jc w:val="left"/>
        <w:rPr>
          <w:rFonts w:hint="eastAsia" w:ascii="宋体" w:hAnsi="宋体" w:cs="宋体"/>
          <w:b/>
          <w:szCs w:val="21"/>
        </w:rPr>
      </w:pPr>
      <w:r>
        <w:rPr>
          <w:rFonts w:hint="eastAsia" w:ascii="宋体" w:hAnsi="宋体" w:cs="宋体"/>
          <w:b/>
          <w:szCs w:val="21"/>
          <w:lang w:val="en-US" w:eastAsia="zh-CN"/>
        </w:rPr>
        <w:t>三</w:t>
      </w:r>
      <w:r>
        <w:rPr>
          <w:rFonts w:hint="eastAsia" w:ascii="宋体" w:hAnsi="宋体" w:cs="宋体"/>
          <w:b/>
          <w:szCs w:val="21"/>
        </w:rPr>
        <w:t>、商务要求</w:t>
      </w: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3</w:t>
      </w:r>
      <w:r>
        <w:rPr>
          <w:rFonts w:hint="eastAsia" w:ascii="宋体" w:hAnsi="宋体" w:cs="宋体"/>
          <w:b/>
          <w:szCs w:val="21"/>
        </w:rPr>
        <w:t>.1报价要求</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（1）报价方案是唯一确定且不高于本项目采购预算</w:t>
      </w:r>
      <w:r>
        <w:rPr>
          <w:rFonts w:hint="eastAsia" w:ascii="宋体" w:hAnsi="宋体" w:cs="宋体"/>
          <w:bCs/>
          <w:szCs w:val="21"/>
          <w:highlight w:val="yellow"/>
        </w:rPr>
        <w:t>和最高限价</w:t>
      </w:r>
      <w:r>
        <w:rPr>
          <w:rFonts w:hint="eastAsia" w:ascii="宋体" w:hAnsi="宋体" w:cs="宋体"/>
          <w:bCs/>
          <w:szCs w:val="21"/>
        </w:rPr>
        <w:t>；</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（2）报价方式为交付验收价，均涵盖报价要求之一切费用。报价中必须包含技术服务费、货物费、运输储存费用、安装调试费、培训费、垃圾清理费用、全额含税发票等本项目不可预见费用。</w:t>
      </w:r>
    </w:p>
    <w:p>
      <w:pPr>
        <w:spacing w:line="340" w:lineRule="exact"/>
        <w:ind w:firstLine="420" w:firstLineChars="200"/>
        <w:jc w:val="left"/>
        <w:rPr>
          <w:rFonts w:hint="default" w:ascii="宋体" w:hAnsi="宋体" w:eastAsia="宋体" w:cs="宋体"/>
          <w:b/>
          <w:szCs w:val="21"/>
          <w:lang w:val="en-US" w:eastAsia="zh-CN"/>
        </w:rPr>
      </w:pPr>
      <w:r>
        <w:rPr>
          <w:rFonts w:hint="eastAsia" w:ascii="宋体" w:hAnsi="宋体" w:cs="宋体"/>
          <w:b/>
          <w:szCs w:val="21"/>
          <w:lang w:val="en-US" w:eastAsia="zh-CN"/>
        </w:rPr>
        <w:t>3</w:t>
      </w:r>
      <w:r>
        <w:rPr>
          <w:rFonts w:hint="eastAsia" w:ascii="宋体" w:hAnsi="宋体" w:cs="宋体"/>
          <w:b/>
          <w:szCs w:val="21"/>
        </w:rPr>
        <w:t>.2</w:t>
      </w:r>
      <w:r>
        <w:rPr>
          <w:rFonts w:hint="eastAsia" w:ascii="宋体" w:hAnsi="宋体" w:cs="宋体"/>
          <w:b/>
          <w:szCs w:val="21"/>
          <w:lang w:val="en-US" w:eastAsia="zh-CN"/>
        </w:rPr>
        <w:t>服务期限</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服务期限包含配货、送货、安装等，总日历天数为：60天（不含并网流程时间）</w:t>
      </w:r>
      <w:r>
        <w:rPr>
          <w:rFonts w:hint="eastAsia" w:ascii="宋体" w:hAnsi="宋体" w:cs="宋体"/>
          <w:bCs/>
          <w:szCs w:val="21"/>
          <w:lang w:eastAsia="zh-CN"/>
        </w:rPr>
        <w:t>。</w:t>
      </w:r>
      <w:r>
        <w:rPr>
          <w:rFonts w:hint="eastAsia" w:ascii="宋体" w:hAnsi="宋体" w:cs="宋体"/>
          <w:bCs/>
          <w:szCs w:val="21"/>
          <w:highlight w:val="yellow"/>
          <w:lang w:val="en-US" w:eastAsia="zh-CN"/>
        </w:rPr>
        <w:t>自合同签订之日起</w:t>
      </w:r>
      <w:r>
        <w:rPr>
          <w:rFonts w:hint="eastAsia" w:ascii="宋体" w:hAnsi="宋体" w:cs="宋体"/>
          <w:bCs/>
          <w:szCs w:val="21"/>
          <w:highlight w:val="yellow"/>
        </w:rPr>
        <w:t>第3个自然日</w:t>
      </w:r>
      <w:r>
        <w:rPr>
          <w:rFonts w:hint="eastAsia" w:ascii="宋体" w:hAnsi="宋体" w:cs="宋体"/>
          <w:bCs/>
          <w:szCs w:val="21"/>
        </w:rPr>
        <w:t>开始计算工期，供应商未及时送货或安装导致拖延货期，每逾期一天，处罚2000元/天，从应付货款中直接扣除。</w:t>
      </w: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3.3</w:t>
      </w:r>
      <w:r>
        <w:rPr>
          <w:rFonts w:hint="eastAsia" w:ascii="宋体" w:hAnsi="宋体" w:cs="宋体"/>
          <w:b/>
          <w:szCs w:val="21"/>
        </w:rPr>
        <w:t>验收要求</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1.采购人根据国家现行法律法规、安全技术规范、验收规范及标准组织采购项目验收，收到验收申请后7日内进行验收，由采购人和中标供应商双方对采购项目进行验收。</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2.项目验收依次序对照执行标准为：①符合中华人民共和国国家和履约地相关安全质量标准、行业技术规范标准、环保节能标准；②符合招标文件和响应承诺中采购人认可的合理最佳配置、参数规格及各项要求；③双方约定的其他验收标准。</w:t>
      </w: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3</w:t>
      </w:r>
      <w:r>
        <w:rPr>
          <w:rFonts w:hint="eastAsia" w:ascii="宋体" w:hAnsi="宋体" w:cs="宋体"/>
          <w:b/>
          <w:szCs w:val="21"/>
        </w:rPr>
        <w:t>.</w:t>
      </w:r>
      <w:r>
        <w:rPr>
          <w:rFonts w:hint="eastAsia" w:ascii="宋体" w:hAnsi="宋体" w:cs="宋体"/>
          <w:b/>
          <w:szCs w:val="21"/>
          <w:lang w:val="en-US" w:eastAsia="zh-CN"/>
        </w:rPr>
        <w:t>4</w:t>
      </w:r>
      <w:r>
        <w:rPr>
          <w:rFonts w:hint="eastAsia" w:ascii="宋体" w:hAnsi="宋体" w:cs="宋体"/>
          <w:b/>
          <w:szCs w:val="21"/>
        </w:rPr>
        <w:t>质量保证期要求</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（1）本项目货物的质保期不少于1年，其中光伏</w:t>
      </w:r>
      <w:r>
        <w:rPr>
          <w:rFonts w:hint="eastAsia" w:ascii="宋体" w:hAnsi="宋体" w:cs="宋体"/>
          <w:bCs/>
          <w:szCs w:val="21"/>
          <w:lang w:val="en-US" w:eastAsia="zh-CN"/>
        </w:rPr>
        <w:t>组件</w:t>
      </w:r>
      <w:r>
        <w:rPr>
          <w:rFonts w:hint="eastAsia" w:ascii="宋体" w:hAnsi="宋体" w:cs="宋体"/>
          <w:bCs/>
          <w:szCs w:val="21"/>
        </w:rPr>
        <w:t>质保期不少于5年，质保期自采购人验收合格之日起计算；</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（2）质保期限内，对提供的所有硬件设备及产品，如出现非人为因素损坏的，中标供应商需负责进行质保，该费用包含在报价内，不再向采购人收取费用。</w:t>
      </w: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3.5</w:t>
      </w:r>
      <w:r>
        <w:rPr>
          <w:rFonts w:hint="eastAsia" w:ascii="宋体" w:hAnsi="宋体" w:cs="宋体"/>
          <w:b/>
          <w:szCs w:val="21"/>
        </w:rPr>
        <w:t>售后服务要求</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（1）中标供应商应设有稳定可靠的售后服务机构或同类合作机构。</w:t>
      </w:r>
    </w:p>
    <w:p>
      <w:pPr>
        <w:spacing w:line="340" w:lineRule="exact"/>
        <w:ind w:firstLine="420" w:firstLineChars="200"/>
        <w:jc w:val="left"/>
        <w:rPr>
          <w:rFonts w:hint="eastAsia" w:ascii="宋体" w:hAnsi="宋体" w:eastAsia="宋体" w:cs="宋体"/>
          <w:bCs/>
          <w:color w:val="auto"/>
          <w:szCs w:val="21"/>
        </w:rPr>
      </w:pPr>
      <w:r>
        <w:rPr>
          <w:rFonts w:hint="eastAsia" w:ascii="宋体" w:hAnsi="宋体" w:eastAsia="宋体" w:cs="宋体"/>
          <w:bCs/>
          <w:color w:val="auto"/>
          <w:szCs w:val="21"/>
        </w:rPr>
        <w:t>（2）售后服务内容及范围：质保期内，中标供应商对所供设备实行包修、包换、包退、包维护保养，期满后可同时提供终身维修保养服务。</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3）售后服务响应时间：质保期限内，在收到采购人的报修通知后，中标供应商需在24小时内进行响应，48小时内提供解决方案，并应在72小时内解决问题。若在72小时内仍未能有效解决，中标供应商须提供可实现同等功能的设备予采购人临时使用。</w:t>
      </w: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3.6</w:t>
      </w:r>
      <w:r>
        <w:rPr>
          <w:rFonts w:hint="eastAsia" w:ascii="宋体" w:hAnsi="宋体" w:cs="宋体"/>
          <w:b/>
          <w:szCs w:val="21"/>
        </w:rPr>
        <w:t>培训要求</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（1）由中标供应商提供项目相关的专业技术支持及操作培训工作，培训需所有培训的费用均包含在项目投标报价中，采购人不再另外支付相关培训费用。</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（2）在项目验收前由中标供应商安排人员，于项目所在地进行培训，直到采购人的使用人充分了解本项目的系统构成、基本原理，并熟练掌握系统的使用和运维等。</w:t>
      </w: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3.7</w:t>
      </w:r>
      <w:r>
        <w:rPr>
          <w:rFonts w:hint="eastAsia" w:ascii="宋体" w:hAnsi="宋体" w:cs="宋体"/>
          <w:b/>
          <w:szCs w:val="21"/>
        </w:rPr>
        <w:t>项目管理要求</w:t>
      </w:r>
    </w:p>
    <w:p>
      <w:pPr>
        <w:spacing w:line="340" w:lineRule="exact"/>
        <w:ind w:firstLine="420" w:firstLineChars="200"/>
        <w:jc w:val="left"/>
        <w:rPr>
          <w:rFonts w:hint="eastAsia" w:ascii="宋体" w:hAnsi="宋体" w:cs="宋体"/>
          <w:bCs/>
          <w:szCs w:val="21"/>
        </w:rPr>
      </w:pPr>
      <w:r>
        <w:rPr>
          <w:rFonts w:hint="default" w:ascii="宋体" w:hAnsi="宋体" w:cs="宋体"/>
          <w:bCs/>
          <w:szCs w:val="21"/>
        </w:rPr>
        <w:t>★</w:t>
      </w:r>
      <w:r>
        <w:rPr>
          <w:rFonts w:ascii="Arial" w:hAnsi="Arial" w:eastAsia="Arial" w:cs="Arial"/>
          <w:i w:val="0"/>
          <w:iCs w:val="0"/>
          <w:caps w:val="0"/>
          <w:color w:val="3D4757"/>
          <w:spacing w:val="0"/>
          <w:sz w:val="21"/>
          <w:szCs w:val="21"/>
          <w:shd w:val="clear" w:fill="FFFFFF"/>
        </w:rPr>
        <w:t>本项目为货物采购包安装，工期为不超过60天（不包含并网流程时间）</w:t>
      </w:r>
      <w:r>
        <w:rPr>
          <w:rFonts w:ascii="宋体" w:hAnsi="宋体" w:eastAsia="宋体" w:cs="宋体"/>
          <w:sz w:val="24"/>
          <w:szCs w:val="24"/>
        </w:rPr>
        <w:t xml:space="preserve"> ，工</w:t>
      </w:r>
      <w:r>
        <w:rPr>
          <w:rFonts w:hint="eastAsia" w:ascii="宋体" w:hAnsi="宋体" w:cs="宋体"/>
          <w:bCs/>
          <w:szCs w:val="21"/>
        </w:rPr>
        <w:t>期延误超过5天，采购人口头警告；</w:t>
      </w:r>
      <w:r>
        <w:rPr>
          <w:rFonts w:hint="default" w:ascii="宋体" w:hAnsi="宋体" w:cs="宋体"/>
          <w:bCs/>
          <w:szCs w:val="21"/>
        </w:rPr>
        <w:t>工</w:t>
      </w:r>
      <w:r>
        <w:rPr>
          <w:rFonts w:hint="eastAsia" w:ascii="宋体" w:hAnsi="宋体" w:cs="宋体"/>
          <w:bCs/>
          <w:szCs w:val="21"/>
        </w:rPr>
        <w:t>期延误超过10天，采购人书面警告；</w:t>
      </w:r>
      <w:r>
        <w:rPr>
          <w:rFonts w:hint="default" w:ascii="宋体" w:hAnsi="宋体" w:cs="宋体"/>
          <w:bCs/>
          <w:szCs w:val="21"/>
        </w:rPr>
        <w:t>工</w:t>
      </w:r>
      <w:r>
        <w:rPr>
          <w:rFonts w:hint="eastAsia" w:ascii="宋体" w:hAnsi="宋体" w:cs="宋体"/>
          <w:bCs/>
          <w:szCs w:val="21"/>
        </w:rPr>
        <w:t>期延误超15天，采购人有权单方面解除合同。由此造成的所有损失由供应商承担。</w:t>
      </w:r>
    </w:p>
    <w:p>
      <w:pPr>
        <w:rPr>
          <w:rFonts w:hint="eastAsia"/>
          <w:lang w:val="en-US" w:eastAsia="zh-CN"/>
        </w:rPr>
      </w:pPr>
    </w:p>
    <w:p>
      <w:pPr>
        <w:rPr>
          <w:rFonts w:hint="default"/>
          <w:lang w:val="en-US" w:eastAsia="zh-CN"/>
        </w:rPr>
      </w:pPr>
    </w:p>
    <w:p>
      <w:pPr>
        <w:spacing w:line="340" w:lineRule="exact"/>
        <w:ind w:firstLine="420" w:firstLineChars="200"/>
        <w:jc w:val="left"/>
        <w:rPr>
          <w:rFonts w:hint="eastAsia" w:ascii="宋体" w:hAnsi="宋体" w:cs="宋体"/>
          <w:b/>
          <w:szCs w:val="21"/>
        </w:rPr>
      </w:pPr>
      <w:r>
        <w:rPr>
          <w:rFonts w:hint="eastAsia" w:ascii="宋体" w:hAnsi="宋体" w:cs="宋体"/>
          <w:b/>
          <w:szCs w:val="21"/>
          <w:lang w:val="en-US" w:eastAsia="zh-CN"/>
        </w:rPr>
        <w:t>四、</w:t>
      </w:r>
      <w:r>
        <w:rPr>
          <w:rFonts w:hint="eastAsia" w:ascii="宋体" w:hAnsi="宋体" w:cs="宋体"/>
          <w:b/>
          <w:szCs w:val="21"/>
        </w:rPr>
        <w:t>付款方式</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（1）合同签订后，</w:t>
      </w:r>
      <w:r>
        <w:rPr>
          <w:rFonts w:hint="default" w:ascii="宋体" w:hAnsi="宋体" w:cs="宋体"/>
          <w:bCs/>
          <w:szCs w:val="21"/>
        </w:rPr>
        <w:t>按合</w:t>
      </w:r>
      <w:r>
        <w:rPr>
          <w:rFonts w:hint="eastAsia" w:ascii="宋体" w:hAnsi="宋体" w:cs="宋体"/>
          <w:bCs/>
          <w:szCs w:val="21"/>
        </w:rPr>
        <w:t>同总价的30%作为预付款</w:t>
      </w:r>
      <w:r>
        <w:rPr>
          <w:rFonts w:hint="default" w:ascii="宋体" w:hAnsi="宋体" w:cs="宋体"/>
          <w:bCs/>
          <w:szCs w:val="21"/>
        </w:rPr>
        <w:t>，</w:t>
      </w:r>
      <w:r>
        <w:rPr>
          <w:rFonts w:hint="eastAsia" w:ascii="宋体" w:hAnsi="宋体" w:cs="宋体"/>
          <w:bCs/>
          <w:szCs w:val="21"/>
        </w:rPr>
        <w:t>中标人提交预付款请款资料给采购人，采购人收到后10个工作日内，办理支付；</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（2）项目主要设备(已在清单中“</w:t>
      </w:r>
      <w:r>
        <w:rPr>
          <w:rFonts w:hint="eastAsia" w:ascii="宋体" w:hAnsi="宋体" w:cs="宋体"/>
          <w:bCs/>
          <w:szCs w:val="21"/>
        </w:rPr>
        <w:sym w:font="Wingdings 2" w:char="00A3"/>
      </w:r>
      <w:r>
        <w:rPr>
          <w:rFonts w:hint="eastAsia" w:ascii="宋体" w:hAnsi="宋体" w:cs="宋体"/>
          <w:bCs/>
          <w:szCs w:val="21"/>
        </w:rPr>
        <w:t>”标记）到货后，中标人需提供请款资料给采购人，采购人收到后10个工作日内办理支付合同总价的40%；</w:t>
      </w:r>
    </w:p>
    <w:p>
      <w:pPr>
        <w:spacing w:line="340" w:lineRule="exact"/>
        <w:ind w:firstLine="420" w:firstLineChars="200"/>
        <w:jc w:val="left"/>
        <w:rPr>
          <w:rFonts w:hint="eastAsia" w:ascii="宋体" w:hAnsi="宋体" w:cs="宋体"/>
          <w:bCs/>
          <w:szCs w:val="21"/>
        </w:rPr>
      </w:pPr>
      <w:r>
        <w:rPr>
          <w:rFonts w:hint="eastAsia" w:ascii="宋体" w:hAnsi="宋体" w:cs="宋体"/>
          <w:bCs/>
          <w:szCs w:val="21"/>
        </w:rPr>
        <w:t>（3）项目完工并验收合格后10个工作日内，中标人提交请款资料给采购人，采购人收到后5个工作日内办理支付合同余款。</w:t>
      </w:r>
    </w:p>
    <w:p>
      <w:pPr>
        <w:rPr>
          <w:rFonts w:hint="default" w:ascii="宋体" w:hAnsi="宋体" w:cs="宋体"/>
          <w:bCs/>
          <w:szCs w:val="21"/>
          <w:lang w:val="en-US" w:eastAsia="zh-CN"/>
        </w:rPr>
      </w:pPr>
    </w:p>
    <w:p>
      <w:pPr>
        <w:rPr>
          <w:rFonts w:hint="default" w:ascii="宋体" w:hAnsi="宋体" w:cs="宋体"/>
          <w:bCs/>
          <w:szCs w:val="21"/>
          <w:lang w:val="en-US" w:eastAsia="zh-CN"/>
        </w:rPr>
      </w:pPr>
    </w:p>
    <w:p>
      <w:pPr>
        <w:rPr>
          <w:rFonts w:hint="default" w:ascii="宋体" w:hAnsi="宋体" w:cs="宋体"/>
          <w:bCs/>
          <w:szCs w:val="21"/>
          <w:lang w:val="en-US" w:eastAsia="zh-CN"/>
        </w:rPr>
      </w:pPr>
    </w:p>
    <w:p>
      <w:pPr>
        <w:rPr>
          <w:rFonts w:hint="default" w:ascii="宋体" w:hAnsi="宋体" w:cs="宋体"/>
          <w:bCs/>
          <w:szCs w:val="21"/>
          <w:lang w:val="en-US"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r>
        <w:rPr>
          <w:rFonts w:hint="default" w:ascii="宋体" w:hAnsi="宋体" w:cs="宋体"/>
          <w:bCs/>
          <w:szCs w:val="21"/>
          <w:lang w:eastAsia="zh-CN"/>
        </w:rPr>
        <w:t>附图1：项目规划屋顶现场图</w:t>
      </w:r>
    </w:p>
    <w:p>
      <w:pPr>
        <w:rPr>
          <w:rFonts w:hint="default" w:ascii="宋体" w:hAnsi="宋体" w:cs="宋体"/>
          <w:bCs/>
          <w:szCs w:val="21"/>
          <w:lang w:eastAsia="zh-CN"/>
        </w:rPr>
      </w:pPr>
      <w:r>
        <w:rPr>
          <w:rFonts w:hint="default" w:ascii="宋体" w:hAnsi="宋体" w:cs="宋体"/>
          <w:bCs/>
          <w:szCs w:val="21"/>
          <w:lang w:eastAsia="zh-CN"/>
        </w:rPr>
        <w:drawing>
          <wp:anchor distT="0" distB="0" distL="114300" distR="114300" simplePos="0" relativeHeight="251659264" behindDoc="0" locked="0" layoutInCell="1" allowOverlap="1">
            <wp:simplePos x="0" y="0"/>
            <wp:positionH relativeFrom="column">
              <wp:posOffset>428625</wp:posOffset>
            </wp:positionH>
            <wp:positionV relativeFrom="paragraph">
              <wp:posOffset>168910</wp:posOffset>
            </wp:positionV>
            <wp:extent cx="4381500" cy="3286125"/>
            <wp:effectExtent l="0" t="0" r="0" b="952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4381500" cy="3286125"/>
                    </a:xfrm>
                    <a:prstGeom prst="rect">
                      <a:avLst/>
                    </a:prstGeom>
                  </pic:spPr>
                </pic:pic>
              </a:graphicData>
            </a:graphic>
          </wp:anchor>
        </w:drawing>
      </w: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p>
    <w:p>
      <w:pPr>
        <w:rPr>
          <w:rFonts w:hint="default" w:ascii="宋体" w:hAnsi="宋体" w:cs="宋体"/>
          <w:bCs/>
          <w:szCs w:val="21"/>
          <w:lang w:eastAsia="zh-CN"/>
        </w:rPr>
      </w:pPr>
      <w:r>
        <w:rPr>
          <w:rFonts w:hint="default" w:ascii="宋体" w:hAnsi="宋体" w:cs="宋体"/>
          <w:bCs/>
          <w:szCs w:val="21"/>
          <w:lang w:eastAsia="zh-CN"/>
        </w:rPr>
        <w:t>附图2：完工后预期效果图（仅供参考）及相关参数说明</w:t>
      </w:r>
    </w:p>
    <w:p>
      <w:pPr>
        <w:rPr>
          <w:rFonts w:hint="default" w:ascii="宋体" w:hAnsi="宋体" w:cs="宋体"/>
          <w:bCs/>
          <w:szCs w:val="21"/>
          <w:lang w:eastAsia="zh-CN"/>
        </w:rPr>
      </w:pPr>
      <w:bookmarkStart w:id="2" w:name="_GoBack"/>
      <w:r>
        <w:rPr>
          <w:rFonts w:hint="default" w:ascii="宋体" w:hAnsi="宋体" w:cs="宋体"/>
          <w:bCs/>
          <w:szCs w:val="21"/>
          <w:lang w:eastAsia="zh-CN"/>
        </w:rPr>
        <w:drawing>
          <wp:inline distT="0" distB="0" distL="114300" distR="114300">
            <wp:extent cx="5267325" cy="242887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267325" cy="2428875"/>
                    </a:xfrm>
                    <a:prstGeom prst="rect">
                      <a:avLst/>
                    </a:prstGeom>
                  </pic:spPr>
                </pic:pic>
              </a:graphicData>
            </a:graphic>
          </wp:inline>
        </w:drawing>
      </w:r>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30304000000000000"/>
    <w:charset w:val="81"/>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Tahoma">
    <w:altName w:val="Verdana"/>
    <w:panose1 w:val="020B0604030504040204"/>
    <w:charset w:val="00"/>
    <w:family w:val="auto"/>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Wingdings 2">
    <w:altName w:val="Kingsoft Mark"/>
    <w:panose1 w:val="05020102010507070707"/>
    <w:charset w:val="02"/>
    <w:family w:val="roman"/>
    <w:pitch w:val="default"/>
    <w:sig w:usb0="00000000" w:usb1="00000000" w:usb2="00000000" w:usb3="00000000" w:csb0="80000000" w:csb1="00000000"/>
  </w:font>
  <w:font w:name="Kingsoft Mark">
    <w:panose1 w:val="05030102010509060703"/>
    <w:charset w:val="00"/>
    <w:family w:val="auto"/>
    <w:pitch w:val="default"/>
    <w:sig w:usb0="00000000" w:usb1="00000000" w:usb2="00000000" w:usb3="00000000" w:csb0="80000000"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12</w:t>
    </w:r>
    <w:r>
      <w:rPr>
        <w:lang w:val="zh-C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713E0"/>
    <w:rsid w:val="04DC4690"/>
    <w:rsid w:val="0EFDD3E8"/>
    <w:rsid w:val="11ACFFAF"/>
    <w:rsid w:val="11EF5DC9"/>
    <w:rsid w:val="13394A5B"/>
    <w:rsid w:val="13A7230D"/>
    <w:rsid w:val="21CE1D49"/>
    <w:rsid w:val="23B95E70"/>
    <w:rsid w:val="23FE7D27"/>
    <w:rsid w:val="2ED51684"/>
    <w:rsid w:val="32A45F3D"/>
    <w:rsid w:val="33FF1B3C"/>
    <w:rsid w:val="374D7908"/>
    <w:rsid w:val="377FADAA"/>
    <w:rsid w:val="39CF2844"/>
    <w:rsid w:val="3A563FC1"/>
    <w:rsid w:val="3BDE302A"/>
    <w:rsid w:val="3C7F8103"/>
    <w:rsid w:val="3D0C7C81"/>
    <w:rsid w:val="3D474095"/>
    <w:rsid w:val="3D7DB503"/>
    <w:rsid w:val="3FE23C01"/>
    <w:rsid w:val="40543767"/>
    <w:rsid w:val="40800F5D"/>
    <w:rsid w:val="426609E9"/>
    <w:rsid w:val="43686B13"/>
    <w:rsid w:val="43A15B81"/>
    <w:rsid w:val="46234588"/>
    <w:rsid w:val="46670824"/>
    <w:rsid w:val="47E250E6"/>
    <w:rsid w:val="49DC7913"/>
    <w:rsid w:val="4AF13892"/>
    <w:rsid w:val="4B6FED41"/>
    <w:rsid w:val="4CD55219"/>
    <w:rsid w:val="4EB5EFBE"/>
    <w:rsid w:val="4F9F7B2E"/>
    <w:rsid w:val="522B58DB"/>
    <w:rsid w:val="538B4884"/>
    <w:rsid w:val="549C3BB8"/>
    <w:rsid w:val="55BE361D"/>
    <w:rsid w:val="5947124D"/>
    <w:rsid w:val="5B6A3613"/>
    <w:rsid w:val="5DE8778C"/>
    <w:rsid w:val="5EDBBC93"/>
    <w:rsid w:val="5FA016B7"/>
    <w:rsid w:val="66EF70E4"/>
    <w:rsid w:val="675FFD71"/>
    <w:rsid w:val="677F2D6B"/>
    <w:rsid w:val="691F41EE"/>
    <w:rsid w:val="693FDBC5"/>
    <w:rsid w:val="6D761CA9"/>
    <w:rsid w:val="6F5F76C2"/>
    <w:rsid w:val="720D3EA9"/>
    <w:rsid w:val="731D465B"/>
    <w:rsid w:val="747131CA"/>
    <w:rsid w:val="77EF7722"/>
    <w:rsid w:val="7AEE54E6"/>
    <w:rsid w:val="7C3FBE9F"/>
    <w:rsid w:val="7DDF0E92"/>
    <w:rsid w:val="7E5A9A80"/>
    <w:rsid w:val="7FBFF974"/>
    <w:rsid w:val="7FDB6EA1"/>
    <w:rsid w:val="7FFBC9D5"/>
    <w:rsid w:val="7FFF67B7"/>
    <w:rsid w:val="9F32C667"/>
    <w:rsid w:val="9FFD497E"/>
    <w:rsid w:val="BFC54016"/>
    <w:rsid w:val="C6FF146B"/>
    <w:rsid w:val="D3EF67B8"/>
    <w:rsid w:val="D8DEDCA7"/>
    <w:rsid w:val="DBFEB4A3"/>
    <w:rsid w:val="DDFF25CB"/>
    <w:rsid w:val="E2F791CB"/>
    <w:rsid w:val="E8BB19DF"/>
    <w:rsid w:val="EA63EC3F"/>
    <w:rsid w:val="ED63425B"/>
    <w:rsid w:val="EF7F42E0"/>
    <w:rsid w:val="EFE3CC8C"/>
    <w:rsid w:val="F8DFC7E1"/>
    <w:rsid w:val="FBBD6E9E"/>
    <w:rsid w:val="FBEF8AED"/>
    <w:rsid w:val="FBFDA48E"/>
    <w:rsid w:val="FBFF24ED"/>
    <w:rsid w:val="FCBF49EC"/>
    <w:rsid w:val="FDB450B6"/>
    <w:rsid w:val="FEFFF90A"/>
    <w:rsid w:val="FFED6A22"/>
    <w:rsid w:val="FFFE66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keepLines/>
      <w:spacing w:before="340" w:after="330" w:line="576" w:lineRule="auto"/>
      <w:ind w:left="4395"/>
      <w:outlineLvl w:val="0"/>
    </w:pPr>
    <w:rPr>
      <w:rFonts w:eastAsia="楷体_GB2312"/>
      <w:b/>
      <w:kern w:val="44"/>
      <w:sz w:val="7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kern w:val="0"/>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kern w:val="0"/>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widowControl/>
      <w:spacing w:before="100" w:beforeAutospacing="1" w:after="100" w:afterAutospacing="1"/>
      <w:jc w:val="left"/>
    </w:pPr>
    <w:rPr>
      <w:rFonts w:ascii="宋体" w:hAnsi="宋体" w:eastAsia="宋体" w:cs="Times New Roman"/>
      <w:kern w:val="0"/>
      <w:sz w:val="24"/>
    </w:rPr>
  </w:style>
  <w:style w:type="character" w:styleId="10">
    <w:name w:val="Emphasis"/>
    <w:qFormat/>
    <w:uiPriority w:val="20"/>
    <w:rPr>
      <w:rFonts w:ascii="Tahoma" w:hAnsi="Tahoma" w:eastAsia="宋体"/>
      <w:b/>
      <w:snapToGrid/>
      <w:color w:val="auto"/>
      <w:kern w:val="2"/>
      <w:sz w:val="28"/>
      <w:lang w:val="en-US" w:eastAsia="zh-CN" w:bidi="ar-SA"/>
    </w:rPr>
  </w:style>
  <w:style w:type="paragraph" w:customStyle="1" w:styleId="11">
    <w:name w:val="null3"/>
    <w:qFormat/>
    <w:uiPriority w:val="0"/>
    <w:rPr>
      <w:rFonts w:hint="eastAsia" w:ascii="Calibri" w:hAnsi="Calibri" w:eastAsia="宋体" w:cs="Times New Roman"/>
      <w:lang w:val="en-US" w:eastAsia="zh-Hans"/>
    </w:rPr>
  </w:style>
  <w:style w:type="paragraph" w:customStyle="1" w:styleId="12">
    <w:name w:val="TOC 标题1"/>
    <w:basedOn w:val="2"/>
    <w:next w:val="1"/>
    <w:qFormat/>
    <w:uiPriority w:val="0"/>
    <w:pPr>
      <w:pageBreakBefore/>
      <w:widowControl/>
      <w:spacing w:beforeLines="150" w:after="0" w:line="300" w:lineRule="auto"/>
      <w:jc w:val="left"/>
    </w:pPr>
    <w:rPr>
      <w:rFonts w:ascii="Cambria" w:hAnsi="Cambria" w:eastAsia="宋体"/>
      <w:bCs/>
      <w:kern w:val="0"/>
      <w:sz w:val="30"/>
      <w:szCs w:val="28"/>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15"/>
    <w:basedOn w:val="9"/>
    <w:qFormat/>
    <w:uiPriority w:val="0"/>
    <w:rPr>
      <w:rFonts w:hint="default" w:ascii="Times New Roman" w:hAnsi="Times New Roman" w:eastAsia="宋体" w:cs="Times New Roman"/>
      <w:kern w:val="2"/>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3066</Words>
  <Characters>3266</Characters>
  <Lines>1</Lines>
  <Paragraphs>1</Paragraphs>
  <TotalTime>14</TotalTime>
  <ScaleCrop>false</ScaleCrop>
  <LinksUpToDate>false</LinksUpToDate>
  <CharactersWithSpaces>3269</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2025-12-25T10:56:00Z</dcterms:created>
  <dc:creator>蓝建明</dc:creator>
  <cp:lastModifiedBy>黄敏君</cp:lastModifiedBy>
  <dcterms:modified xsi:type="dcterms:W3CDTF">2026-01-26T09:19:24Z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6401AD0F3211447AA773FB6796139DD1_12</vt:lpwstr>
  </property>
</Properties>
</file>