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934D88">
      <w:pPr>
        <w:jc w:val="center"/>
        <w:rPr>
          <w:rFonts w:ascii="宋体" w:hAnsi="宋体" w:eastAsia="宋体"/>
          <w:sz w:val="36"/>
          <w:szCs w:val="36"/>
        </w:rPr>
      </w:pPr>
      <w:bookmarkStart w:id="82" w:name="_GoBack"/>
      <w:bookmarkEnd w:id="82"/>
      <w:bookmarkStart w:id="0" w:name="_Toc441851765"/>
    </w:p>
    <w:p w14:paraId="6123842A">
      <w:pPr>
        <w:spacing w:line="720" w:lineRule="auto"/>
        <w:jc w:val="center"/>
        <w:rPr>
          <w:rFonts w:ascii="宋体" w:hAnsi="宋体" w:eastAsia="宋体" w:cs="宋体"/>
          <w:b/>
          <w:bCs/>
          <w:sz w:val="40"/>
          <w:szCs w:val="40"/>
        </w:rPr>
      </w:pPr>
      <w:r>
        <w:rPr>
          <w:rFonts w:hint="eastAsia" w:ascii="宋体" w:hAnsi="宋体" w:eastAsia="宋体" w:cs="宋体"/>
          <w:b/>
          <w:bCs/>
          <w:sz w:val="40"/>
          <w:szCs w:val="40"/>
        </w:rPr>
        <w:t>广州市番禺区第七人民医院202</w:t>
      </w:r>
      <w:r>
        <w:rPr>
          <w:rFonts w:hint="eastAsia" w:ascii="宋体" w:hAnsi="宋体" w:eastAsia="宋体" w:cs="宋体"/>
          <w:b/>
          <w:bCs/>
          <w:sz w:val="40"/>
          <w:szCs w:val="40"/>
          <w:lang w:val="en-US" w:eastAsia="zh-CN"/>
        </w:rPr>
        <w:t>6</w:t>
      </w:r>
      <w:r>
        <w:rPr>
          <w:rFonts w:hint="eastAsia" w:ascii="宋体" w:hAnsi="宋体" w:eastAsia="宋体" w:cs="宋体"/>
          <w:b/>
          <w:bCs/>
          <w:sz w:val="40"/>
          <w:szCs w:val="40"/>
        </w:rPr>
        <w:t>年医疗责任保险项目需求文件</w:t>
      </w:r>
    </w:p>
    <w:bookmarkEnd w:id="0"/>
    <w:p w14:paraId="6637CD96">
      <w:pPr>
        <w:pStyle w:val="5"/>
        <w:rPr>
          <w:rFonts w:ascii="宋体" w:hAnsi="宋体"/>
          <w:bCs/>
          <w:szCs w:val="21"/>
        </w:rPr>
      </w:pPr>
      <w:bookmarkStart w:id="1" w:name="_Toc13201"/>
      <w:bookmarkStart w:id="2" w:name="_Toc170"/>
      <w:bookmarkStart w:id="3" w:name="_Toc8927"/>
      <w:bookmarkStart w:id="4" w:name="_Toc24671"/>
      <w:r>
        <w:rPr>
          <w:rFonts w:hint="eastAsia"/>
        </w:rPr>
        <w:t>一、</w:t>
      </w:r>
      <w:bookmarkEnd w:id="1"/>
      <w:bookmarkEnd w:id="2"/>
      <w:r>
        <w:rPr>
          <w:rFonts w:hint="eastAsia" w:ascii="宋体" w:hAnsi="宋体"/>
          <w:bCs/>
          <w:szCs w:val="21"/>
        </w:rPr>
        <w:t>广州市番禺区第七人民医院基本信息</w:t>
      </w:r>
      <w:bookmarkEnd w:id="3"/>
      <w:bookmarkEnd w:id="4"/>
    </w:p>
    <w:p w14:paraId="3B0757A6"/>
    <w:tbl>
      <w:tblPr>
        <w:tblStyle w:val="26"/>
        <w:tblpPr w:leftFromText="180" w:rightFromText="180" w:vertAnchor="text" w:horzAnchor="page" w:tblpX="1943" w:tblpY="22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8"/>
        <w:gridCol w:w="5283"/>
      </w:tblGrid>
      <w:tr w14:paraId="0364C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45519946">
            <w:pPr>
              <w:autoSpaceDE w:val="0"/>
              <w:autoSpaceDN w:val="0"/>
              <w:adjustRightInd w:val="0"/>
              <w:spacing w:line="440" w:lineRule="exact"/>
              <w:jc w:val="left"/>
              <w:rPr>
                <w:rFonts w:ascii="宋体" w:hAnsi="宋体"/>
                <w:szCs w:val="21"/>
              </w:rPr>
            </w:pPr>
            <w:r>
              <w:rPr>
                <w:rFonts w:hint="eastAsia" w:ascii="宋体" w:hAnsi="宋体"/>
                <w:szCs w:val="21"/>
              </w:rPr>
              <w:t>名称：</w:t>
            </w:r>
          </w:p>
        </w:tc>
        <w:tc>
          <w:tcPr>
            <w:tcW w:w="5283" w:type="dxa"/>
          </w:tcPr>
          <w:p w14:paraId="1E9C82A1">
            <w:pPr>
              <w:autoSpaceDE w:val="0"/>
              <w:autoSpaceDN w:val="0"/>
              <w:adjustRightInd w:val="0"/>
              <w:spacing w:line="440" w:lineRule="exact"/>
              <w:jc w:val="left"/>
              <w:rPr>
                <w:rFonts w:ascii="宋体"/>
                <w:szCs w:val="21"/>
              </w:rPr>
            </w:pPr>
            <w:r>
              <w:rPr>
                <w:rFonts w:hint="eastAsia" w:ascii="宋体"/>
                <w:szCs w:val="21"/>
              </w:rPr>
              <w:t>广州市番禺区第七人民医院</w:t>
            </w:r>
          </w:p>
        </w:tc>
      </w:tr>
      <w:tr w14:paraId="795CC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44075F0F">
            <w:pPr>
              <w:autoSpaceDE w:val="0"/>
              <w:autoSpaceDN w:val="0"/>
              <w:adjustRightInd w:val="0"/>
              <w:spacing w:line="440" w:lineRule="exact"/>
              <w:jc w:val="left"/>
              <w:rPr>
                <w:rFonts w:ascii="宋体" w:hAnsi="宋体"/>
                <w:szCs w:val="21"/>
              </w:rPr>
            </w:pPr>
            <w:r>
              <w:rPr>
                <w:rFonts w:hint="eastAsia" w:ascii="宋体" w:hAnsi="宋体"/>
                <w:szCs w:val="21"/>
              </w:rPr>
              <w:t>地址：</w:t>
            </w:r>
          </w:p>
        </w:tc>
        <w:tc>
          <w:tcPr>
            <w:tcW w:w="5283" w:type="dxa"/>
          </w:tcPr>
          <w:p w14:paraId="34725E8C">
            <w:pPr>
              <w:autoSpaceDE w:val="0"/>
              <w:autoSpaceDN w:val="0"/>
              <w:adjustRightInd w:val="0"/>
              <w:spacing w:line="440" w:lineRule="exact"/>
              <w:jc w:val="left"/>
              <w:rPr>
                <w:rFonts w:ascii="宋体"/>
                <w:szCs w:val="21"/>
              </w:rPr>
            </w:pPr>
            <w:r>
              <w:rPr>
                <w:rFonts w:hint="eastAsia" w:ascii="宋体" w:hAnsi="宋体"/>
              </w:rPr>
              <w:t>广州市番禺区石楼镇人民路149号</w:t>
            </w:r>
          </w:p>
        </w:tc>
      </w:tr>
      <w:tr w14:paraId="69685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63D7092B">
            <w:pPr>
              <w:autoSpaceDE w:val="0"/>
              <w:autoSpaceDN w:val="0"/>
              <w:adjustRightInd w:val="0"/>
              <w:spacing w:line="440" w:lineRule="exact"/>
              <w:jc w:val="left"/>
              <w:rPr>
                <w:rFonts w:ascii="宋体"/>
                <w:szCs w:val="21"/>
              </w:rPr>
            </w:pPr>
            <w:r>
              <w:rPr>
                <w:rFonts w:hint="eastAsia" w:ascii="宋体" w:hAnsi="宋体"/>
                <w:szCs w:val="21"/>
              </w:rPr>
              <w:t>医疗机构等级：</w:t>
            </w:r>
          </w:p>
        </w:tc>
        <w:tc>
          <w:tcPr>
            <w:tcW w:w="5283" w:type="dxa"/>
          </w:tcPr>
          <w:p w14:paraId="1E0914F4">
            <w:pPr>
              <w:autoSpaceDE w:val="0"/>
              <w:autoSpaceDN w:val="0"/>
              <w:adjustRightInd w:val="0"/>
              <w:spacing w:line="440" w:lineRule="exact"/>
              <w:jc w:val="left"/>
              <w:rPr>
                <w:rFonts w:ascii="宋体"/>
                <w:szCs w:val="21"/>
              </w:rPr>
            </w:pPr>
            <w:r>
              <w:rPr>
                <w:rFonts w:hint="eastAsia" w:ascii="宋体"/>
                <w:szCs w:val="21"/>
              </w:rPr>
              <w:t>二级</w:t>
            </w:r>
          </w:p>
        </w:tc>
      </w:tr>
      <w:tr w14:paraId="618EB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59018F12">
            <w:pPr>
              <w:autoSpaceDE w:val="0"/>
              <w:autoSpaceDN w:val="0"/>
              <w:adjustRightInd w:val="0"/>
              <w:spacing w:line="440" w:lineRule="exact"/>
              <w:jc w:val="left"/>
              <w:rPr>
                <w:rFonts w:ascii="宋体"/>
                <w:szCs w:val="21"/>
              </w:rPr>
            </w:pPr>
            <w:r>
              <w:rPr>
                <w:rFonts w:hint="eastAsia" w:ascii="宋体" w:hAnsi="宋体"/>
                <w:szCs w:val="21"/>
              </w:rPr>
              <w:t>医疗机构类别：</w:t>
            </w:r>
          </w:p>
        </w:tc>
        <w:tc>
          <w:tcPr>
            <w:tcW w:w="5283" w:type="dxa"/>
          </w:tcPr>
          <w:p w14:paraId="30934186">
            <w:pPr>
              <w:autoSpaceDE w:val="0"/>
              <w:autoSpaceDN w:val="0"/>
              <w:adjustRightInd w:val="0"/>
              <w:spacing w:line="440" w:lineRule="exact"/>
              <w:jc w:val="left"/>
              <w:rPr>
                <w:rFonts w:ascii="宋体"/>
                <w:szCs w:val="21"/>
              </w:rPr>
            </w:pPr>
            <w:r>
              <w:rPr>
                <w:rFonts w:hint="eastAsia" w:ascii="宋体"/>
                <w:szCs w:val="21"/>
              </w:rPr>
              <w:t>综合</w:t>
            </w:r>
          </w:p>
        </w:tc>
      </w:tr>
      <w:tr w14:paraId="042D6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2858" w:type="dxa"/>
          </w:tcPr>
          <w:p w14:paraId="14055B0A">
            <w:pPr>
              <w:autoSpaceDE w:val="0"/>
              <w:autoSpaceDN w:val="0"/>
              <w:adjustRightInd w:val="0"/>
              <w:spacing w:line="440" w:lineRule="exact"/>
              <w:jc w:val="left"/>
              <w:rPr>
                <w:rFonts w:ascii="宋体"/>
                <w:szCs w:val="21"/>
              </w:rPr>
            </w:pPr>
            <w:r>
              <w:rPr>
                <w:rFonts w:hint="eastAsia" w:ascii="宋体" w:hAnsi="宋体"/>
                <w:szCs w:val="21"/>
              </w:rPr>
              <w:t>床位数：</w:t>
            </w:r>
          </w:p>
        </w:tc>
        <w:tc>
          <w:tcPr>
            <w:tcW w:w="5283" w:type="dxa"/>
          </w:tcPr>
          <w:p w14:paraId="4E90D246">
            <w:pPr>
              <w:autoSpaceDE w:val="0"/>
              <w:autoSpaceDN w:val="0"/>
              <w:adjustRightInd w:val="0"/>
              <w:spacing w:line="440" w:lineRule="exact"/>
              <w:jc w:val="left"/>
              <w:rPr>
                <w:rFonts w:ascii="宋体"/>
                <w:szCs w:val="21"/>
              </w:rPr>
            </w:pPr>
            <w:r>
              <w:rPr>
                <w:rFonts w:hint="eastAsia" w:ascii="宋体"/>
                <w:szCs w:val="21"/>
              </w:rPr>
              <w:t>1</w:t>
            </w:r>
            <w:r>
              <w:rPr>
                <w:rFonts w:hint="eastAsia" w:ascii="宋体"/>
                <w:szCs w:val="21"/>
                <w:lang w:val="en-US" w:eastAsia="zh-CN"/>
              </w:rPr>
              <w:t>69</w:t>
            </w:r>
            <w:r>
              <w:rPr>
                <w:rFonts w:hint="eastAsia" w:ascii="宋体"/>
                <w:szCs w:val="21"/>
              </w:rPr>
              <w:t>张</w:t>
            </w:r>
          </w:p>
        </w:tc>
      </w:tr>
      <w:tr w14:paraId="548AB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1EDC49C4">
            <w:pPr>
              <w:autoSpaceDE w:val="0"/>
              <w:autoSpaceDN w:val="0"/>
              <w:adjustRightInd w:val="0"/>
              <w:spacing w:line="440" w:lineRule="exact"/>
              <w:jc w:val="left"/>
              <w:rPr>
                <w:rFonts w:ascii="宋体"/>
                <w:szCs w:val="21"/>
              </w:rPr>
            </w:pPr>
            <w:r>
              <w:rPr>
                <w:rFonts w:hint="eastAsia" w:ascii="宋体" w:hAnsi="宋体"/>
                <w:szCs w:val="21"/>
              </w:rPr>
              <w:t>医务人员数：</w:t>
            </w:r>
          </w:p>
        </w:tc>
        <w:tc>
          <w:tcPr>
            <w:tcW w:w="5283" w:type="dxa"/>
          </w:tcPr>
          <w:p w14:paraId="2433F05C">
            <w:pPr>
              <w:autoSpaceDE w:val="0"/>
              <w:autoSpaceDN w:val="0"/>
              <w:adjustRightInd w:val="0"/>
              <w:spacing w:line="440" w:lineRule="exact"/>
              <w:jc w:val="left"/>
              <w:rPr>
                <w:rFonts w:ascii="宋体"/>
                <w:szCs w:val="21"/>
              </w:rPr>
            </w:pPr>
            <w:r>
              <w:rPr>
                <w:rFonts w:hint="eastAsia" w:ascii="宋体"/>
                <w:szCs w:val="21"/>
              </w:rPr>
              <w:t>2</w:t>
            </w:r>
            <w:r>
              <w:rPr>
                <w:rFonts w:hint="eastAsia" w:ascii="宋体"/>
                <w:szCs w:val="21"/>
                <w:lang w:val="en-US" w:eastAsia="zh-CN"/>
              </w:rPr>
              <w:t>46</w:t>
            </w:r>
            <w:r>
              <w:rPr>
                <w:rFonts w:hint="eastAsia" w:ascii="宋体"/>
                <w:szCs w:val="21"/>
              </w:rPr>
              <w:t>人</w:t>
            </w:r>
          </w:p>
        </w:tc>
      </w:tr>
      <w:tr w14:paraId="49A79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7C0B94B7">
            <w:pPr>
              <w:autoSpaceDE w:val="0"/>
              <w:autoSpaceDN w:val="0"/>
              <w:adjustRightInd w:val="0"/>
              <w:spacing w:line="440" w:lineRule="exact"/>
              <w:jc w:val="left"/>
              <w:rPr>
                <w:rFonts w:ascii="宋体"/>
                <w:szCs w:val="21"/>
              </w:rPr>
            </w:pPr>
            <w:r>
              <w:rPr>
                <w:rFonts w:hint="eastAsia" w:ascii="宋体" w:hAnsi="宋体"/>
                <w:szCs w:val="21"/>
              </w:rPr>
              <w:t>上年度门（急）诊人次：</w:t>
            </w:r>
          </w:p>
        </w:tc>
        <w:tc>
          <w:tcPr>
            <w:tcW w:w="5283" w:type="dxa"/>
          </w:tcPr>
          <w:p w14:paraId="2F647F2E">
            <w:pPr>
              <w:autoSpaceDE w:val="0"/>
              <w:autoSpaceDN w:val="0"/>
              <w:adjustRightInd w:val="0"/>
              <w:spacing w:line="440" w:lineRule="exact"/>
              <w:jc w:val="left"/>
              <w:rPr>
                <w:rFonts w:ascii="宋体"/>
                <w:szCs w:val="21"/>
              </w:rPr>
            </w:pPr>
            <w:r>
              <w:rPr>
                <w:rFonts w:hint="eastAsia" w:ascii="宋体"/>
                <w:szCs w:val="21"/>
                <w:lang w:val="en-US" w:eastAsia="zh-CN"/>
              </w:rPr>
              <w:t>341</w:t>
            </w:r>
            <w:r>
              <w:rPr>
                <w:rFonts w:hint="eastAsia" w:ascii="宋体"/>
                <w:szCs w:val="21"/>
              </w:rPr>
              <w:t>,</w:t>
            </w:r>
            <w:r>
              <w:rPr>
                <w:rFonts w:hint="eastAsia" w:ascii="宋体"/>
                <w:szCs w:val="21"/>
                <w:lang w:val="en-US" w:eastAsia="zh-CN"/>
              </w:rPr>
              <w:t>597</w:t>
            </w:r>
            <w:r>
              <w:rPr>
                <w:rFonts w:hint="eastAsia" w:ascii="宋体"/>
                <w:szCs w:val="21"/>
              </w:rPr>
              <w:t>人次</w:t>
            </w:r>
          </w:p>
        </w:tc>
      </w:tr>
      <w:tr w14:paraId="71433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41987F5F">
            <w:pPr>
              <w:autoSpaceDE w:val="0"/>
              <w:autoSpaceDN w:val="0"/>
              <w:adjustRightInd w:val="0"/>
              <w:spacing w:line="440" w:lineRule="exact"/>
              <w:jc w:val="left"/>
              <w:rPr>
                <w:rFonts w:ascii="宋体"/>
                <w:szCs w:val="21"/>
              </w:rPr>
            </w:pPr>
            <w:r>
              <w:rPr>
                <w:rFonts w:hint="eastAsia" w:ascii="宋体" w:hAnsi="宋体"/>
              </w:rPr>
              <w:t>上年度出院人数：</w:t>
            </w:r>
          </w:p>
        </w:tc>
        <w:tc>
          <w:tcPr>
            <w:tcW w:w="5283" w:type="dxa"/>
          </w:tcPr>
          <w:p w14:paraId="31E8586C">
            <w:pPr>
              <w:autoSpaceDE w:val="0"/>
              <w:autoSpaceDN w:val="0"/>
              <w:adjustRightInd w:val="0"/>
              <w:spacing w:line="440" w:lineRule="exact"/>
              <w:jc w:val="left"/>
              <w:rPr>
                <w:rFonts w:ascii="宋体"/>
                <w:szCs w:val="21"/>
              </w:rPr>
            </w:pPr>
            <w:r>
              <w:rPr>
                <w:rFonts w:hint="eastAsia" w:ascii="宋体"/>
                <w:szCs w:val="21"/>
                <w:lang w:val="en-US" w:eastAsia="zh-CN"/>
              </w:rPr>
              <w:t>5</w:t>
            </w:r>
            <w:r>
              <w:rPr>
                <w:rFonts w:hint="eastAsia" w:ascii="宋体"/>
                <w:szCs w:val="21"/>
              </w:rPr>
              <w:t>,</w:t>
            </w:r>
            <w:r>
              <w:rPr>
                <w:rFonts w:hint="eastAsia" w:ascii="宋体"/>
                <w:szCs w:val="21"/>
                <w:lang w:val="en-US" w:eastAsia="zh-CN"/>
              </w:rPr>
              <w:t>279</w:t>
            </w:r>
            <w:r>
              <w:rPr>
                <w:rFonts w:hint="eastAsia" w:ascii="宋体"/>
                <w:szCs w:val="21"/>
              </w:rPr>
              <w:t>人</w:t>
            </w:r>
          </w:p>
        </w:tc>
      </w:tr>
      <w:tr w14:paraId="33282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629A7A3E">
            <w:pPr>
              <w:autoSpaceDE w:val="0"/>
              <w:autoSpaceDN w:val="0"/>
              <w:adjustRightInd w:val="0"/>
              <w:spacing w:line="440" w:lineRule="exact"/>
              <w:jc w:val="left"/>
              <w:rPr>
                <w:rFonts w:ascii="宋体" w:hAnsi="宋体"/>
              </w:rPr>
            </w:pPr>
            <w:r>
              <w:rPr>
                <w:rFonts w:hint="eastAsia" w:ascii="宋体" w:hAnsi="宋体"/>
              </w:rPr>
              <w:t>上年度互联网诊疗人次：</w:t>
            </w:r>
          </w:p>
        </w:tc>
        <w:tc>
          <w:tcPr>
            <w:tcW w:w="5283" w:type="dxa"/>
          </w:tcPr>
          <w:p w14:paraId="0C61D1EC">
            <w:pPr>
              <w:autoSpaceDE w:val="0"/>
              <w:autoSpaceDN w:val="0"/>
              <w:adjustRightInd w:val="0"/>
              <w:spacing w:line="440" w:lineRule="exact"/>
              <w:jc w:val="left"/>
              <w:rPr>
                <w:rFonts w:ascii="宋体"/>
                <w:szCs w:val="21"/>
              </w:rPr>
            </w:pPr>
            <w:r>
              <w:rPr>
                <w:rFonts w:hint="eastAsia" w:ascii="宋体"/>
                <w:szCs w:val="21"/>
                <w:lang w:val="en-US" w:eastAsia="zh-CN"/>
              </w:rPr>
              <w:t>0</w:t>
            </w:r>
            <w:r>
              <w:rPr>
                <w:rFonts w:hint="eastAsia" w:ascii="宋体"/>
                <w:szCs w:val="21"/>
              </w:rPr>
              <w:t>人次</w:t>
            </w:r>
          </w:p>
        </w:tc>
      </w:tr>
    </w:tbl>
    <w:p w14:paraId="66203E8C">
      <w:pPr>
        <w:rPr>
          <w:rFonts w:ascii="宋体" w:hAnsi="宋体" w:eastAsia="宋体" w:cs="宋体"/>
          <w:kern w:val="0"/>
          <w:szCs w:val="21"/>
        </w:rPr>
      </w:pPr>
    </w:p>
    <w:p w14:paraId="07551230">
      <w:pPr>
        <w:pStyle w:val="5"/>
        <w:rPr>
          <w:rFonts w:ascii="宋体" w:hAnsi="宋体" w:cs="宋体"/>
          <w:kern w:val="0"/>
          <w:szCs w:val="21"/>
        </w:rPr>
      </w:pPr>
      <w:bookmarkStart w:id="5" w:name="_Toc21373"/>
      <w:bookmarkStart w:id="6" w:name="_Toc5760"/>
      <w:bookmarkStart w:id="7" w:name="_Toc9243"/>
      <w:bookmarkStart w:id="8" w:name="_Toc21406"/>
      <w:r>
        <w:rPr>
          <w:rFonts w:hint="eastAsia"/>
        </w:rPr>
        <w:t>二、项目概况</w:t>
      </w:r>
      <w:bookmarkEnd w:id="5"/>
      <w:bookmarkEnd w:id="6"/>
      <w:bookmarkEnd w:id="7"/>
      <w:bookmarkEnd w:id="8"/>
      <w:r>
        <w:rPr>
          <w:rFonts w:hint="eastAsia" w:ascii="宋体" w:hAnsi="宋体" w:cs="宋体"/>
          <w:kern w:val="0"/>
          <w:szCs w:val="21"/>
        </w:rPr>
        <w:t xml:space="preserve"> </w:t>
      </w:r>
    </w:p>
    <w:tbl>
      <w:tblPr>
        <w:tblStyle w:val="26"/>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4691"/>
      </w:tblGrid>
      <w:tr w14:paraId="34CD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74" w:type="dxa"/>
            <w:vAlign w:val="center"/>
          </w:tcPr>
          <w:p w14:paraId="17C3FB16">
            <w:pPr>
              <w:tabs>
                <w:tab w:val="left" w:pos="360"/>
              </w:tabs>
              <w:spacing w:line="276" w:lineRule="auto"/>
              <w:jc w:val="center"/>
              <w:rPr>
                <w:rFonts w:ascii="宋体" w:hAnsi="宋体" w:eastAsia="宋体" w:cs="宋体"/>
                <w:szCs w:val="21"/>
              </w:rPr>
            </w:pPr>
            <w:bookmarkStart w:id="9" w:name="_Toc25407"/>
            <w:bookmarkStart w:id="10" w:name="_Toc15715"/>
            <w:r>
              <w:rPr>
                <w:rFonts w:hint="eastAsia" w:ascii="宋体" w:hAnsi="宋体" w:eastAsia="宋体" w:cs="宋体"/>
                <w:szCs w:val="21"/>
              </w:rPr>
              <w:t>采购内容</w:t>
            </w:r>
          </w:p>
        </w:tc>
        <w:tc>
          <w:tcPr>
            <w:tcW w:w="4691" w:type="dxa"/>
            <w:vAlign w:val="center"/>
          </w:tcPr>
          <w:p w14:paraId="77B2FBA7">
            <w:pPr>
              <w:tabs>
                <w:tab w:val="left" w:pos="360"/>
              </w:tabs>
              <w:spacing w:line="276" w:lineRule="auto"/>
              <w:jc w:val="center"/>
              <w:rPr>
                <w:rFonts w:ascii="宋体" w:hAnsi="宋体" w:eastAsia="宋体" w:cs="宋体"/>
                <w:szCs w:val="21"/>
              </w:rPr>
            </w:pPr>
            <w:r>
              <w:rPr>
                <w:rFonts w:hint="eastAsia" w:ascii="宋体" w:hAnsi="宋体" w:eastAsia="宋体" w:cs="宋体"/>
                <w:szCs w:val="21"/>
              </w:rPr>
              <w:t>保险期限</w:t>
            </w:r>
          </w:p>
        </w:tc>
      </w:tr>
      <w:tr w14:paraId="3070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74" w:type="dxa"/>
            <w:vAlign w:val="center"/>
          </w:tcPr>
          <w:p w14:paraId="7AD4111A">
            <w:pPr>
              <w:tabs>
                <w:tab w:val="left" w:pos="360"/>
              </w:tabs>
              <w:spacing w:line="276" w:lineRule="auto"/>
              <w:jc w:val="center"/>
              <w:rPr>
                <w:rFonts w:ascii="宋体" w:hAnsi="宋体" w:eastAsia="宋体" w:cs="宋体"/>
                <w:szCs w:val="21"/>
              </w:rPr>
            </w:pPr>
            <w:r>
              <w:rPr>
                <w:rFonts w:hint="eastAsia" w:ascii="宋体" w:hAnsi="宋体" w:eastAsia="宋体" w:cs="宋体"/>
                <w:szCs w:val="21"/>
              </w:rPr>
              <w:t>医疗责任保险服务</w:t>
            </w:r>
          </w:p>
        </w:tc>
        <w:tc>
          <w:tcPr>
            <w:tcW w:w="4691" w:type="dxa"/>
            <w:vAlign w:val="center"/>
          </w:tcPr>
          <w:p w14:paraId="2541AE28">
            <w:pPr>
              <w:tabs>
                <w:tab w:val="left" w:pos="360"/>
              </w:tabs>
              <w:spacing w:line="276" w:lineRule="auto"/>
              <w:jc w:val="center"/>
              <w:rPr>
                <w:rFonts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年，自合同签订之日起</w:t>
            </w:r>
          </w:p>
        </w:tc>
      </w:tr>
    </w:tbl>
    <w:p w14:paraId="39AD30A2">
      <w:pPr>
        <w:pStyle w:val="2"/>
      </w:pPr>
    </w:p>
    <w:p w14:paraId="4EB8EFC4">
      <w:pPr>
        <w:pStyle w:val="5"/>
      </w:pPr>
      <w:bookmarkStart w:id="11" w:name="_Toc20309"/>
      <w:bookmarkStart w:id="12" w:name="_Toc27084"/>
      <w:r>
        <w:rPr>
          <w:rFonts w:hint="eastAsia"/>
        </w:rPr>
        <w:t>三、</w:t>
      </w:r>
      <w:bookmarkStart w:id="13" w:name="OLE_LINK1"/>
      <w:r>
        <w:rPr>
          <w:rFonts w:hint="eastAsia"/>
        </w:rPr>
        <w:t>项目需求</w:t>
      </w:r>
      <w:bookmarkEnd w:id="9"/>
      <w:bookmarkEnd w:id="10"/>
      <w:bookmarkEnd w:id="11"/>
      <w:bookmarkEnd w:id="12"/>
    </w:p>
    <w:bookmarkEnd w:id="13"/>
    <w:p w14:paraId="0FAA325C">
      <w:pPr>
        <w:pStyle w:val="6"/>
        <w:numPr>
          <w:ilvl w:val="0"/>
          <w:numId w:val="2"/>
        </w:numPr>
        <w:spacing w:before="0"/>
        <w:jc w:val="left"/>
        <w:rPr>
          <w:rFonts w:cs="宋体"/>
          <w:kern w:val="0"/>
          <w:sz w:val="18"/>
          <w:szCs w:val="18"/>
        </w:rPr>
      </w:pPr>
      <w:bookmarkStart w:id="14" w:name="_Toc24002"/>
      <w:bookmarkStart w:id="15" w:name="_Toc8204"/>
      <w:bookmarkStart w:id="16" w:name="_Toc29299"/>
      <w:r>
        <w:rPr>
          <w:rFonts w:hint="eastAsia"/>
          <w:sz w:val="24"/>
          <w:szCs w:val="21"/>
        </w:rPr>
        <w:t>医疗责任保险保障方案</w:t>
      </w:r>
      <w:r>
        <w:rPr>
          <w:rFonts w:cs="宋体"/>
          <w:kern w:val="0"/>
          <w:sz w:val="18"/>
          <w:szCs w:val="18"/>
        </w:rPr>
        <w:t xml:space="preserve"> </w:t>
      </w:r>
      <w:bookmarkEnd w:id="14"/>
      <w:bookmarkEnd w:id="15"/>
      <w:bookmarkEnd w:id="16"/>
    </w:p>
    <w:p w14:paraId="4EB8F011">
      <w:pPr>
        <w:rPr>
          <w:rFonts w:cs="宋体"/>
          <w:kern w:val="0"/>
          <w:sz w:val="18"/>
          <w:szCs w:val="18"/>
        </w:rPr>
      </w:pPr>
    </w:p>
    <w:p w14:paraId="077FD000">
      <w:pPr>
        <w:pStyle w:val="2"/>
      </w:pPr>
    </w:p>
    <w:tbl>
      <w:tblPr>
        <w:tblStyle w:val="26"/>
        <w:tblW w:w="96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8184"/>
      </w:tblGrid>
      <w:tr w14:paraId="7FCE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2EC7F87C">
            <w:pPr>
              <w:tabs>
                <w:tab w:val="left" w:pos="1180"/>
              </w:tabs>
              <w:spacing w:line="400" w:lineRule="exact"/>
              <w:ind w:left="49" w:right="-20"/>
              <w:jc w:val="center"/>
              <w:rPr>
                <w:rFonts w:ascii="宋体" w:hAnsi="宋体" w:cs="Adobe 仿宋 Std R"/>
                <w:b/>
                <w:szCs w:val="21"/>
              </w:rPr>
            </w:pPr>
            <w:bookmarkStart w:id="17" w:name="_Toc14683"/>
            <w:bookmarkStart w:id="18" w:name="_Toc9976"/>
            <w:bookmarkStart w:id="19" w:name="_Toc2458"/>
            <w:bookmarkStart w:id="20" w:name="_Toc8808"/>
            <w:bookmarkStart w:id="21" w:name="_Toc29891"/>
            <w:bookmarkStart w:id="22" w:name="_Toc15862"/>
            <w:bookmarkStart w:id="23" w:name="_Toc16115"/>
            <w:bookmarkStart w:id="24" w:name="_Toc3912"/>
            <w:bookmarkStart w:id="25" w:name="_Toc28409"/>
            <w:bookmarkStart w:id="26" w:name="_Toc28645"/>
            <w:bookmarkStart w:id="27" w:name="_Toc30195"/>
            <w:bookmarkStart w:id="28" w:name="_Toc9977"/>
            <w:bookmarkStart w:id="29" w:name="_Toc30223"/>
            <w:bookmarkStart w:id="30" w:name="_Toc440831199"/>
            <w:bookmarkStart w:id="31" w:name="_Toc22532"/>
            <w:bookmarkStart w:id="32" w:name="_Toc5163"/>
            <w:bookmarkStart w:id="33" w:name="_Toc8086"/>
            <w:bookmarkStart w:id="34" w:name="_Toc27916"/>
            <w:bookmarkStart w:id="35" w:name="_Toc20052"/>
            <w:bookmarkStart w:id="36" w:name="_Toc18447"/>
            <w:bookmarkStart w:id="37" w:name="_Toc19890"/>
            <w:bookmarkStart w:id="38" w:name="_Toc2451"/>
            <w:bookmarkStart w:id="39" w:name="_Toc7331"/>
            <w:bookmarkStart w:id="40" w:name="_Toc25081"/>
            <w:bookmarkStart w:id="41" w:name="_Toc31098"/>
            <w:bookmarkStart w:id="42" w:name="_Toc1833"/>
            <w:bookmarkStart w:id="43" w:name="_Toc800"/>
            <w:bookmarkStart w:id="44" w:name="_Toc20432"/>
            <w:bookmarkStart w:id="45" w:name="_Toc31684"/>
            <w:bookmarkStart w:id="46" w:name="_Toc4098"/>
            <w:bookmarkStart w:id="47" w:name="_Toc4063"/>
            <w:bookmarkStart w:id="48" w:name="_Toc15547"/>
            <w:bookmarkStart w:id="49" w:name="_Toc22730"/>
            <w:bookmarkStart w:id="50" w:name="_Toc1088"/>
            <w:r>
              <w:rPr>
                <w:rFonts w:ascii="宋体" w:hAnsi="宋体" w:cs="Adobe 仿宋 Std R"/>
                <w:b/>
                <w:szCs w:val="21"/>
              </w:rPr>
              <w:t>项</w:t>
            </w:r>
            <w:r>
              <w:rPr>
                <w:rFonts w:ascii="宋体" w:hAnsi="宋体" w:cs="Adobe 仿宋 Std R"/>
                <w:b/>
                <w:szCs w:val="21"/>
              </w:rPr>
              <w:tab/>
            </w:r>
            <w:r>
              <w:rPr>
                <w:rFonts w:ascii="宋体" w:hAnsi="宋体" w:cs="Adobe 仿宋 Std R"/>
                <w:b/>
                <w:szCs w:val="21"/>
              </w:rPr>
              <w:t>目</w:t>
            </w:r>
          </w:p>
        </w:tc>
        <w:tc>
          <w:tcPr>
            <w:tcW w:w="8184" w:type="dxa"/>
            <w:vAlign w:val="center"/>
          </w:tcPr>
          <w:p w14:paraId="043734EC">
            <w:pPr>
              <w:tabs>
                <w:tab w:val="left" w:pos="4000"/>
              </w:tabs>
              <w:spacing w:line="400" w:lineRule="exact"/>
              <w:ind w:left="2798" w:right="2780"/>
              <w:jc w:val="center"/>
              <w:rPr>
                <w:rFonts w:ascii="宋体" w:hAnsi="宋体" w:cs="Adobe 仿宋 Std R"/>
                <w:b/>
                <w:szCs w:val="21"/>
              </w:rPr>
            </w:pPr>
            <w:r>
              <w:rPr>
                <w:rFonts w:ascii="宋体" w:hAnsi="宋体" w:cs="Adobe 仿宋 Std R"/>
                <w:b/>
                <w:szCs w:val="21"/>
              </w:rPr>
              <w:t>内</w:t>
            </w:r>
            <w:r>
              <w:rPr>
                <w:rFonts w:ascii="宋体" w:hAnsi="宋体" w:cs="Adobe 仿宋 Std R"/>
                <w:b/>
                <w:szCs w:val="21"/>
              </w:rPr>
              <w:tab/>
            </w:r>
            <w:r>
              <w:rPr>
                <w:rFonts w:ascii="宋体" w:hAnsi="宋体" w:cs="Adobe 仿宋 Std R"/>
                <w:b/>
                <w:szCs w:val="21"/>
              </w:rPr>
              <w:t>容</w:t>
            </w:r>
          </w:p>
        </w:tc>
      </w:tr>
      <w:tr w14:paraId="3CD79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9615" w:type="dxa"/>
            <w:gridSpan w:val="2"/>
            <w:vAlign w:val="center"/>
          </w:tcPr>
          <w:p w14:paraId="0536E54C">
            <w:pPr>
              <w:spacing w:line="400" w:lineRule="exact"/>
              <w:ind w:left="102" w:right="-20"/>
              <w:jc w:val="left"/>
              <w:rPr>
                <w:rFonts w:ascii="宋体" w:hAnsi="宋体" w:cs="Adobe 仿宋 Std R"/>
                <w:b/>
                <w:szCs w:val="21"/>
              </w:rPr>
            </w:pPr>
            <w:r>
              <w:rPr>
                <w:rFonts w:ascii="宋体" w:hAnsi="宋体" w:cs="Adobe 仿宋 Std R"/>
                <w:b/>
                <w:spacing w:val="2"/>
                <w:szCs w:val="21"/>
              </w:rPr>
              <w:t>1</w:t>
            </w:r>
            <w:r>
              <w:rPr>
                <w:rFonts w:hint="eastAsia" w:ascii="宋体" w:hAnsi="宋体" w:cs="Adobe 仿宋 Std R"/>
                <w:b/>
                <w:szCs w:val="21"/>
              </w:rPr>
              <w:t>、</w:t>
            </w:r>
            <w:r>
              <w:rPr>
                <w:rFonts w:ascii="宋体" w:hAnsi="宋体" w:cs="Adobe 仿宋 Std R"/>
                <w:b/>
                <w:spacing w:val="1"/>
                <w:szCs w:val="21"/>
              </w:rPr>
              <w:t>投保人</w:t>
            </w:r>
          </w:p>
        </w:tc>
      </w:tr>
      <w:tr w14:paraId="62D77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exact"/>
          <w:jc w:val="center"/>
        </w:trPr>
        <w:tc>
          <w:tcPr>
            <w:tcW w:w="1431" w:type="dxa"/>
            <w:vAlign w:val="center"/>
          </w:tcPr>
          <w:p w14:paraId="6AB3E82B">
            <w:pPr>
              <w:spacing w:line="400" w:lineRule="exact"/>
              <w:ind w:left="102" w:right="-20"/>
              <w:jc w:val="left"/>
              <w:rPr>
                <w:rFonts w:ascii="宋体" w:hAnsi="宋体" w:cs="Adobe 仿宋 Std R"/>
                <w:szCs w:val="21"/>
              </w:rPr>
            </w:pPr>
            <w:r>
              <w:rPr>
                <w:rFonts w:ascii="宋体" w:hAnsi="宋体" w:cs="Adobe 仿宋 Std R"/>
                <w:szCs w:val="21"/>
              </w:rPr>
              <w:t>投保人名称：</w:t>
            </w:r>
          </w:p>
        </w:tc>
        <w:tc>
          <w:tcPr>
            <w:tcW w:w="8184" w:type="dxa"/>
            <w:vAlign w:val="center"/>
          </w:tcPr>
          <w:p w14:paraId="51E5F8D2">
            <w:pPr>
              <w:spacing w:line="240" w:lineRule="exact"/>
              <w:jc w:val="left"/>
              <w:rPr>
                <w:rFonts w:ascii="宋体" w:hAnsi="宋体" w:cs="Adobe 仿宋 Std R"/>
                <w:szCs w:val="21"/>
              </w:rPr>
            </w:pPr>
            <w:r>
              <w:rPr>
                <w:rFonts w:hint="eastAsia" w:ascii="宋体" w:hAnsi="宋体"/>
                <w:szCs w:val="21"/>
              </w:rPr>
              <w:t>广州市番禺区第七人民医院</w:t>
            </w:r>
          </w:p>
        </w:tc>
      </w:tr>
      <w:tr w14:paraId="2C3F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exact"/>
          <w:jc w:val="center"/>
        </w:trPr>
        <w:tc>
          <w:tcPr>
            <w:tcW w:w="1431" w:type="dxa"/>
            <w:vAlign w:val="center"/>
          </w:tcPr>
          <w:p w14:paraId="32A6FCA6">
            <w:pPr>
              <w:spacing w:line="400" w:lineRule="exact"/>
              <w:ind w:left="102" w:right="-20"/>
              <w:jc w:val="left"/>
              <w:rPr>
                <w:rFonts w:ascii="宋体" w:hAnsi="宋体" w:cs="Adobe 仿宋 Std R"/>
                <w:szCs w:val="21"/>
              </w:rPr>
            </w:pPr>
            <w:r>
              <w:rPr>
                <w:rFonts w:ascii="宋体" w:hAnsi="宋体" w:cs="Adobe 仿宋 Std R"/>
                <w:szCs w:val="21"/>
              </w:rPr>
              <w:t>投保人地址：</w:t>
            </w:r>
          </w:p>
        </w:tc>
        <w:tc>
          <w:tcPr>
            <w:tcW w:w="8184" w:type="dxa"/>
            <w:vAlign w:val="center"/>
          </w:tcPr>
          <w:p w14:paraId="4A383BD4">
            <w:pPr>
              <w:spacing w:line="240" w:lineRule="exact"/>
              <w:jc w:val="left"/>
              <w:rPr>
                <w:rFonts w:ascii="宋体" w:hAnsi="宋体" w:cs="Adobe 仿宋 Std R"/>
                <w:szCs w:val="21"/>
              </w:rPr>
            </w:pPr>
            <w:r>
              <w:rPr>
                <w:rFonts w:hint="eastAsia" w:ascii="宋体" w:hAnsi="宋体"/>
              </w:rPr>
              <w:t>广州市番禺区石楼镇人民路149号</w:t>
            </w:r>
          </w:p>
        </w:tc>
      </w:tr>
      <w:tr w14:paraId="5C878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9615" w:type="dxa"/>
            <w:gridSpan w:val="2"/>
            <w:vAlign w:val="center"/>
          </w:tcPr>
          <w:p w14:paraId="54D17573">
            <w:pPr>
              <w:spacing w:line="400" w:lineRule="exact"/>
              <w:ind w:left="102" w:right="-20"/>
              <w:jc w:val="left"/>
              <w:rPr>
                <w:rFonts w:ascii="宋体" w:hAnsi="宋体" w:cs="Adobe 仿宋 Std R"/>
                <w:b/>
                <w:szCs w:val="21"/>
              </w:rPr>
            </w:pPr>
            <w:r>
              <w:rPr>
                <w:rFonts w:ascii="宋体" w:hAnsi="宋体" w:cs="Adobe 仿宋 Std R"/>
                <w:b/>
                <w:spacing w:val="2"/>
                <w:szCs w:val="21"/>
              </w:rPr>
              <w:t>2</w:t>
            </w:r>
            <w:r>
              <w:rPr>
                <w:rFonts w:hint="eastAsia" w:ascii="宋体" w:hAnsi="宋体" w:cs="Adobe 仿宋 Std R"/>
                <w:b/>
                <w:szCs w:val="21"/>
              </w:rPr>
              <w:t>、</w:t>
            </w:r>
            <w:r>
              <w:rPr>
                <w:rFonts w:ascii="宋体" w:hAnsi="宋体" w:cs="Adobe 仿宋 Std R"/>
                <w:b/>
                <w:spacing w:val="1"/>
                <w:szCs w:val="21"/>
              </w:rPr>
              <w:t>被保险人</w:t>
            </w:r>
          </w:p>
        </w:tc>
      </w:tr>
      <w:tr w14:paraId="28E6D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31" w:type="dxa"/>
            <w:vAlign w:val="center"/>
          </w:tcPr>
          <w:p w14:paraId="5C6D6B40">
            <w:pPr>
              <w:spacing w:line="400" w:lineRule="exact"/>
            </w:pPr>
            <w:r>
              <w:rPr>
                <w:rFonts w:hint="eastAsia"/>
              </w:rPr>
              <w:t>被保险人名称</w:t>
            </w:r>
          </w:p>
          <w:p w14:paraId="24F55D73">
            <w:pPr>
              <w:spacing w:line="400" w:lineRule="exact"/>
            </w:pPr>
            <w:r>
              <w:rPr>
                <w:rFonts w:hint="eastAsia"/>
              </w:rPr>
              <w:t>及地址：</w:t>
            </w:r>
          </w:p>
        </w:tc>
        <w:tc>
          <w:tcPr>
            <w:tcW w:w="8184" w:type="dxa"/>
          </w:tcPr>
          <w:p w14:paraId="4A0B3416">
            <w:pPr>
              <w:spacing w:line="400" w:lineRule="exact"/>
            </w:pPr>
            <w:r>
              <w:rPr>
                <w:rFonts w:hint="eastAsia"/>
              </w:rPr>
              <w:t>名称：</w:t>
            </w:r>
            <w:r>
              <w:rPr>
                <w:rFonts w:hint="eastAsia" w:ascii="宋体" w:hAnsi="宋体"/>
                <w:szCs w:val="21"/>
              </w:rPr>
              <w:t>广州市番禺区第七人民医院</w:t>
            </w:r>
          </w:p>
          <w:p w14:paraId="1049ABB2">
            <w:pPr>
              <w:spacing w:line="400" w:lineRule="exact"/>
            </w:pPr>
            <w:r>
              <w:rPr>
                <w:rFonts w:hint="eastAsia"/>
              </w:rPr>
              <w:t>地址：</w:t>
            </w:r>
            <w:r>
              <w:rPr>
                <w:rFonts w:hint="eastAsia" w:ascii="宋体" w:hAnsi="宋体"/>
              </w:rPr>
              <w:t>广州市番禺区石楼镇人民路149号</w:t>
            </w:r>
          </w:p>
          <w:p w14:paraId="677AAA8A">
            <w:pPr>
              <w:spacing w:line="400" w:lineRule="exact"/>
              <w:rPr>
                <w:b/>
                <w:bCs/>
              </w:rPr>
            </w:pPr>
            <w:r>
              <w:rPr>
                <w:rFonts w:hint="eastAsia"/>
                <w:b/>
                <w:bCs/>
              </w:rPr>
              <w:t>下属机构：无</w:t>
            </w:r>
          </w:p>
          <w:p w14:paraId="4BD2BB51">
            <w:pPr>
              <w:spacing w:line="240" w:lineRule="exact"/>
            </w:pPr>
          </w:p>
        </w:tc>
      </w:tr>
      <w:tr w14:paraId="2E0FC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23" w:hRule="exact"/>
          <w:jc w:val="center"/>
        </w:trPr>
        <w:tc>
          <w:tcPr>
            <w:tcW w:w="1431" w:type="dxa"/>
            <w:vAlign w:val="center"/>
          </w:tcPr>
          <w:p w14:paraId="7FDBFFE5">
            <w:pPr>
              <w:spacing w:line="400" w:lineRule="exact"/>
              <w:ind w:left="102" w:right="167"/>
              <w:jc w:val="left"/>
              <w:rPr>
                <w:rFonts w:ascii="宋体" w:hAnsi="宋体"/>
                <w:szCs w:val="21"/>
              </w:rPr>
            </w:pPr>
            <w:r>
              <w:rPr>
                <w:rFonts w:ascii="宋体" w:hAnsi="宋体" w:cs="Adobe 仿宋 Std R"/>
                <w:b/>
                <w:spacing w:val="1"/>
                <w:position w:val="-1"/>
                <w:szCs w:val="21"/>
              </w:rPr>
              <w:t>3、赔偿限额</w:t>
            </w:r>
          </w:p>
        </w:tc>
        <w:tc>
          <w:tcPr>
            <w:tcW w:w="8184" w:type="dxa"/>
            <w:vAlign w:val="center"/>
          </w:tcPr>
          <w:p w14:paraId="2BDB7D75">
            <w:pPr>
              <w:spacing w:line="460" w:lineRule="atLeast"/>
              <w:ind w:left="102" w:right="167"/>
              <w:rPr>
                <w:rFonts w:ascii="宋体" w:hAnsi="宋体" w:cs="宋体"/>
                <w:szCs w:val="21"/>
              </w:rPr>
            </w:pPr>
            <w:r>
              <w:rPr>
                <w:rFonts w:hint="eastAsia" w:ascii="宋体" w:hAnsi="宋体" w:cs="宋体"/>
                <w:szCs w:val="21"/>
              </w:rPr>
              <w:t>累计赔偿限额（即全年累计赔偿限额）：RMB 300万元；</w:t>
            </w:r>
          </w:p>
          <w:p w14:paraId="4B85F04B">
            <w:pPr>
              <w:spacing w:line="460" w:lineRule="atLeast"/>
              <w:ind w:left="102" w:right="167"/>
              <w:rPr>
                <w:rFonts w:ascii="宋体" w:hAnsi="宋体" w:cs="宋体"/>
                <w:szCs w:val="21"/>
              </w:rPr>
            </w:pPr>
            <w:r>
              <w:rPr>
                <w:rFonts w:hint="eastAsia" w:ascii="宋体" w:hAnsi="宋体" w:cs="宋体"/>
                <w:szCs w:val="21"/>
              </w:rPr>
              <w:t>每次事故赔偿限额（即每次保险事故赔偿限额）：RMB 100万元；</w:t>
            </w:r>
          </w:p>
          <w:p w14:paraId="67738FBC">
            <w:pPr>
              <w:spacing w:line="460" w:lineRule="atLeast"/>
              <w:ind w:left="102" w:right="167"/>
              <w:rPr>
                <w:rFonts w:ascii="宋体" w:hAnsi="宋体" w:cs="宋体"/>
                <w:szCs w:val="21"/>
              </w:rPr>
            </w:pPr>
            <w:r>
              <w:rPr>
                <w:rFonts w:hint="eastAsia" w:ascii="宋体" w:hAnsi="宋体" w:cs="宋体"/>
                <w:szCs w:val="21"/>
              </w:rPr>
              <w:t>法律费用每次及累计赔偿限额: RMB 30万元。</w:t>
            </w:r>
          </w:p>
          <w:p w14:paraId="64281A2A">
            <w:pPr>
              <w:spacing w:line="400" w:lineRule="exact"/>
              <w:ind w:left="102" w:right="167"/>
              <w:jc w:val="left"/>
              <w:rPr>
                <w:rFonts w:ascii="宋体" w:hAnsi="宋体"/>
                <w:szCs w:val="21"/>
              </w:rPr>
            </w:pPr>
          </w:p>
        </w:tc>
      </w:tr>
      <w:tr w14:paraId="080E0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2D6D911C">
            <w:pPr>
              <w:spacing w:line="400" w:lineRule="exact"/>
              <w:ind w:left="42" w:leftChars="20" w:right="-76" w:rightChars="-36"/>
              <w:rPr>
                <w:rFonts w:ascii="宋体" w:hAnsi="宋体"/>
                <w:b/>
                <w:szCs w:val="21"/>
              </w:rPr>
            </w:pPr>
            <w:r>
              <w:rPr>
                <w:rFonts w:ascii="宋体" w:hAnsi="宋体"/>
                <w:b/>
                <w:szCs w:val="21"/>
              </w:rPr>
              <w:t>4</w:t>
            </w:r>
            <w:r>
              <w:rPr>
                <w:rFonts w:hint="eastAsia" w:ascii="宋体" w:hAnsi="宋体"/>
                <w:b/>
                <w:szCs w:val="21"/>
              </w:rPr>
              <w:t>、免赔额</w:t>
            </w:r>
            <w:r>
              <w:rPr>
                <w:rFonts w:ascii="宋体" w:hAnsi="宋体"/>
                <w:b/>
                <w:szCs w:val="21"/>
              </w:rPr>
              <w:t>：</w:t>
            </w:r>
          </w:p>
        </w:tc>
        <w:tc>
          <w:tcPr>
            <w:tcW w:w="8184" w:type="dxa"/>
            <w:vAlign w:val="center"/>
          </w:tcPr>
          <w:p w14:paraId="28925D04">
            <w:pPr>
              <w:spacing w:line="400" w:lineRule="exact"/>
              <w:ind w:left="42" w:leftChars="20" w:right="145" w:rightChars="69"/>
              <w:rPr>
                <w:rFonts w:ascii="宋体" w:hAnsi="宋体"/>
                <w:szCs w:val="21"/>
              </w:rPr>
            </w:pPr>
            <w:r>
              <w:rPr>
                <w:rFonts w:ascii="宋体" w:hAnsi="宋体"/>
                <w:szCs w:val="21"/>
              </w:rPr>
              <w:t>无</w:t>
            </w:r>
          </w:p>
        </w:tc>
      </w:tr>
      <w:tr w14:paraId="74629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1AC48D44">
            <w:pPr>
              <w:spacing w:line="400" w:lineRule="exact"/>
              <w:ind w:left="42" w:leftChars="20" w:right="-76" w:rightChars="-36"/>
              <w:rPr>
                <w:rFonts w:ascii="宋体" w:hAnsi="宋体"/>
                <w:b/>
                <w:szCs w:val="21"/>
              </w:rPr>
            </w:pPr>
            <w:r>
              <w:rPr>
                <w:rFonts w:ascii="宋体" w:hAnsi="宋体"/>
                <w:b/>
                <w:szCs w:val="21"/>
              </w:rPr>
              <w:t>5</w:t>
            </w:r>
            <w:r>
              <w:rPr>
                <w:rFonts w:hint="eastAsia" w:ascii="宋体" w:hAnsi="宋体"/>
                <w:b/>
                <w:szCs w:val="21"/>
              </w:rPr>
              <w:t>、</w:t>
            </w:r>
            <w:r>
              <w:rPr>
                <w:rFonts w:ascii="宋体" w:hAnsi="宋体"/>
                <w:b/>
                <w:szCs w:val="21"/>
              </w:rPr>
              <w:t>承保基础：</w:t>
            </w:r>
          </w:p>
        </w:tc>
        <w:tc>
          <w:tcPr>
            <w:tcW w:w="8184" w:type="dxa"/>
            <w:vAlign w:val="center"/>
          </w:tcPr>
          <w:p w14:paraId="548EF919">
            <w:pPr>
              <w:spacing w:line="400" w:lineRule="exact"/>
              <w:ind w:left="42" w:leftChars="20" w:right="145" w:rightChars="69"/>
              <w:rPr>
                <w:rFonts w:ascii="宋体" w:hAnsi="宋体"/>
                <w:szCs w:val="21"/>
              </w:rPr>
            </w:pPr>
            <w:r>
              <w:rPr>
                <w:rFonts w:hint="eastAsia" w:ascii="宋体" w:hAnsi="宋体"/>
                <w:szCs w:val="21"/>
              </w:rPr>
              <w:t>期内索赔制</w:t>
            </w:r>
          </w:p>
        </w:tc>
      </w:tr>
      <w:tr w14:paraId="11383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412A8831">
            <w:pPr>
              <w:tabs>
                <w:tab w:val="left" w:pos="1620"/>
              </w:tabs>
              <w:spacing w:line="360" w:lineRule="auto"/>
              <w:jc w:val="center"/>
              <w:rPr>
                <w:rFonts w:ascii="宋体" w:hAnsi="宋体"/>
                <w:b/>
                <w:szCs w:val="21"/>
              </w:rPr>
            </w:pPr>
            <w:r>
              <w:rPr>
                <w:rFonts w:hint="eastAsia" w:ascii="宋体" w:hAnsi="宋体" w:eastAsia="宋体" w:cs="宋体"/>
                <w:b/>
                <w:sz w:val="24"/>
              </w:rPr>
              <w:t>6、适用条款</w:t>
            </w:r>
          </w:p>
        </w:tc>
        <w:tc>
          <w:tcPr>
            <w:tcW w:w="8184" w:type="dxa"/>
            <w:vAlign w:val="center"/>
          </w:tcPr>
          <w:p w14:paraId="73CC6E1D">
            <w:pPr>
              <w:spacing w:line="360" w:lineRule="auto"/>
              <w:jc w:val="left"/>
              <w:rPr>
                <w:rFonts w:ascii="宋体" w:hAnsi="宋体"/>
                <w:szCs w:val="21"/>
              </w:rPr>
            </w:pPr>
            <w:r>
              <w:rPr>
                <w:rFonts w:hint="eastAsia" w:ascii="宋体" w:hAnsi="宋体" w:eastAsia="宋体" w:cs="宋体"/>
                <w:kern w:val="0"/>
                <w:szCs w:val="21"/>
              </w:rPr>
              <w:t>《广东省医疗机构医疗责任保险统保条款》</w:t>
            </w:r>
          </w:p>
        </w:tc>
      </w:tr>
      <w:tr w14:paraId="5FEE7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exact"/>
          <w:jc w:val="center"/>
        </w:trPr>
        <w:tc>
          <w:tcPr>
            <w:tcW w:w="1431" w:type="dxa"/>
            <w:vAlign w:val="center"/>
          </w:tcPr>
          <w:p w14:paraId="5B08EDA7">
            <w:pPr>
              <w:spacing w:line="400" w:lineRule="exact"/>
              <w:ind w:left="42" w:leftChars="20" w:right="-76" w:rightChars="-36"/>
              <w:rPr>
                <w:rFonts w:ascii="宋体" w:hAnsi="宋体"/>
                <w:b/>
                <w:szCs w:val="21"/>
              </w:rPr>
            </w:pPr>
            <w:r>
              <w:rPr>
                <w:rFonts w:ascii="宋体" w:hAnsi="宋体"/>
                <w:b/>
                <w:szCs w:val="21"/>
              </w:rPr>
              <w:t>6</w:t>
            </w:r>
            <w:r>
              <w:rPr>
                <w:rFonts w:hint="eastAsia" w:ascii="宋体" w:hAnsi="宋体"/>
                <w:b/>
                <w:szCs w:val="21"/>
              </w:rPr>
              <w:t>、</w:t>
            </w:r>
            <w:r>
              <w:rPr>
                <w:rFonts w:ascii="宋体" w:hAnsi="宋体"/>
                <w:b/>
                <w:szCs w:val="21"/>
              </w:rPr>
              <w:t>适用条款：</w:t>
            </w:r>
          </w:p>
        </w:tc>
        <w:tc>
          <w:tcPr>
            <w:tcW w:w="8184" w:type="dxa"/>
            <w:vAlign w:val="center"/>
          </w:tcPr>
          <w:p w14:paraId="0B49B032">
            <w:pPr>
              <w:spacing w:line="400" w:lineRule="exact"/>
              <w:ind w:left="42" w:leftChars="20" w:right="145" w:rightChars="69"/>
              <w:rPr>
                <w:rFonts w:ascii="宋体" w:hAnsi="宋体"/>
                <w:szCs w:val="21"/>
              </w:rPr>
            </w:pPr>
            <w:r>
              <w:rPr>
                <w:rFonts w:hint="eastAsia" w:ascii="宋体" w:hAnsi="宋体"/>
                <w:szCs w:val="21"/>
              </w:rPr>
              <w:t>广东医疗机构医疗责任保险统保条款</w:t>
            </w:r>
            <w:r>
              <w:rPr>
                <w:rFonts w:ascii="宋体" w:hAnsi="宋体"/>
                <w:szCs w:val="21"/>
              </w:rPr>
              <w:t>（详见下文</w:t>
            </w:r>
            <w:r>
              <w:rPr>
                <w:rFonts w:hint="eastAsia" w:ascii="宋体" w:hAnsi="宋体"/>
                <w:szCs w:val="21"/>
              </w:rPr>
              <w:t>（附件三））</w:t>
            </w:r>
          </w:p>
        </w:tc>
      </w:tr>
      <w:tr w14:paraId="68EA8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431" w:type="dxa"/>
            <w:vAlign w:val="center"/>
          </w:tcPr>
          <w:p w14:paraId="3959CD26">
            <w:pPr>
              <w:tabs>
                <w:tab w:val="left" w:pos="1620"/>
              </w:tabs>
              <w:spacing w:line="400" w:lineRule="exact"/>
              <w:rPr>
                <w:rFonts w:ascii="宋体" w:hAnsi="宋体" w:eastAsia="宋体" w:cs="宋体"/>
                <w:b/>
                <w:szCs w:val="21"/>
              </w:rPr>
            </w:pPr>
            <w:r>
              <w:rPr>
                <w:rFonts w:hint="eastAsia" w:ascii="宋体" w:hAnsi="宋体" w:eastAsia="宋体" w:cs="宋体"/>
                <w:b/>
                <w:bCs/>
                <w:szCs w:val="21"/>
              </w:rPr>
              <w:t>7、</w:t>
            </w:r>
            <w:r>
              <w:rPr>
                <w:rFonts w:hint="eastAsia" w:ascii="宋体" w:hAnsi="宋体" w:eastAsia="宋体" w:cs="宋体"/>
                <w:b/>
                <w:bCs/>
                <w:szCs w:val="21"/>
                <w:lang w:val="en-US" w:eastAsia="zh-CN"/>
              </w:rPr>
              <w:t>服务</w:t>
            </w:r>
            <w:r>
              <w:rPr>
                <w:rFonts w:hint="eastAsia" w:ascii="宋体" w:hAnsi="宋体" w:eastAsia="宋体" w:cs="宋体"/>
                <w:b/>
                <w:bCs/>
                <w:szCs w:val="21"/>
              </w:rPr>
              <w:t>约定：</w:t>
            </w:r>
          </w:p>
        </w:tc>
        <w:tc>
          <w:tcPr>
            <w:tcW w:w="8184" w:type="dxa"/>
            <w:vAlign w:val="center"/>
          </w:tcPr>
          <w:p w14:paraId="6CBC4AD9">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7.1 为高效化解医疗纠纷案件，充分保障医疗机构的正常诊疗秩序，并体现构建和谐社会之精神，对于赔偿金额（不含法律费用）在人民币1万元以下（含1万元）的医疗纠纷案件，以及对于被保险人或者其医务人员在从事与其资格相符的诊疗活动中存在过错但没有造成患者人身损害的情况，赔偿金额（不含法律费用）在人民币1万元以下（含1万元）的医疗纠纷案件，被保险人完全有权自主处理与患方达成赔偿协议，被保险人与患方达成赔偿协议后，保险人应根据此赔偿协议进行保险赔付。每个保险年度被保险人通过自主处理此类案件的赔偿金额（不含法律费用）累计不超过应缴保费的10%，自主处理次数不限。</w:t>
            </w:r>
          </w:p>
          <w:p w14:paraId="10590002">
            <w:pPr>
              <w:autoSpaceDE w:val="0"/>
              <w:autoSpaceDN w:val="0"/>
              <w:adjustRightInd w:val="0"/>
              <w:spacing w:line="480" w:lineRule="exact"/>
              <w:jc w:val="left"/>
              <w:rPr>
                <w:rFonts w:ascii="宋体" w:hAnsi="宋体" w:eastAsia="宋体" w:cs="宋体"/>
                <w:kern w:val="0"/>
                <w:szCs w:val="21"/>
              </w:rPr>
            </w:pPr>
          </w:p>
          <w:p w14:paraId="0B568AF8">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7.2</w:t>
            </w:r>
            <w:r>
              <w:rPr>
                <w:rFonts w:hint="eastAsia"/>
                <w:lang w:val="en-US" w:eastAsia="zh-CN"/>
              </w:rPr>
              <w:t xml:space="preserve"> </w:t>
            </w:r>
            <w:r>
              <w:rPr>
                <w:rFonts w:hint="eastAsia" w:ascii="宋体" w:hAnsi="宋体" w:eastAsia="宋体" w:cs="宋体"/>
                <w:kern w:val="0"/>
                <w:szCs w:val="21"/>
              </w:rPr>
              <w:t>保险人认可被保险人通过依法设立人民调解委员会达成的调解协议作为保险理赔依据，保险人授权依法设立人民调解委员会的人民调解员对于赔偿处理额度在人民币2万元以内的医疗纠纷案件可自主主导医患纠纷当事人达成调解协议，保险人依据调解协议和保险合同约定负责赔偿。</w:t>
            </w:r>
          </w:p>
          <w:p w14:paraId="79F62B70">
            <w:pPr>
              <w:autoSpaceDE w:val="0"/>
              <w:autoSpaceDN w:val="0"/>
              <w:adjustRightInd w:val="0"/>
              <w:spacing w:line="480" w:lineRule="exact"/>
              <w:ind w:firstLine="560"/>
              <w:jc w:val="left"/>
              <w:rPr>
                <w:rFonts w:ascii="宋体" w:hAnsi="宋体" w:eastAsia="宋体" w:cs="宋体"/>
                <w:kern w:val="0"/>
                <w:szCs w:val="21"/>
              </w:rPr>
            </w:pPr>
          </w:p>
          <w:p w14:paraId="32C1B094">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7.3 在保险期限内发生的保险事故结案后，患方如因同一事故再次提起赔偿请求（包含但不限于请求赔偿后续治疗费、后续护理费等），经法院判决或者仲裁裁决确定应由被保险人继续承担的医疗损害赔偿费用以及因患方再次提起赔偿请求而产生的应由被保险人承担的法律费用，保险公司亦应负责赔偿。</w:t>
            </w:r>
          </w:p>
          <w:p w14:paraId="7F76CC11">
            <w:pPr>
              <w:autoSpaceDE w:val="0"/>
              <w:autoSpaceDN w:val="0"/>
              <w:adjustRightInd w:val="0"/>
              <w:spacing w:line="480" w:lineRule="exact"/>
              <w:ind w:firstLine="560"/>
              <w:jc w:val="left"/>
              <w:rPr>
                <w:rFonts w:ascii="宋体" w:hAnsi="宋体" w:eastAsia="宋体" w:cs="宋体"/>
                <w:kern w:val="0"/>
                <w:szCs w:val="21"/>
              </w:rPr>
            </w:pPr>
          </w:p>
          <w:p w14:paraId="7923E0A0">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7.4 保险人同意本保险采用医务人员不记名的方式投保，被保险人的投保医务人员数达到实际应投保医务人员数的90%以上（含90%）属于足额投保，低于90%的属不足额投保，当被保险人的实际医务人员数变更（增加或减少了投保医务人员数超过的10%）时，被保险人应及时向保险人申报变更后的医务人员数，保险人根据实际增加或减少的医务人员数以及保险期间的剩余期限增加或退还相应的保险费。</w:t>
            </w:r>
          </w:p>
          <w:p w14:paraId="1A7B2BDD">
            <w:pPr>
              <w:autoSpaceDE w:val="0"/>
              <w:autoSpaceDN w:val="0"/>
              <w:adjustRightInd w:val="0"/>
              <w:spacing w:line="480" w:lineRule="exact"/>
              <w:ind w:firstLine="560"/>
              <w:jc w:val="left"/>
              <w:rPr>
                <w:rFonts w:ascii="宋体" w:hAnsi="宋体" w:eastAsia="宋体" w:cs="宋体"/>
                <w:kern w:val="0"/>
                <w:szCs w:val="21"/>
              </w:rPr>
            </w:pPr>
          </w:p>
          <w:p w14:paraId="2D889A9A">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7.5 在保险单中列明的保险期间或追溯期内，在被保险人处进行实习的医学生和试用期医学毕业生，经临床带教教师或者指导医师同意并按照临床带教教师或者指导医师的要求在从事诊疗活动过程中造成患者人身损害的，患者或者其近亲属或者其代理人在保险期间内首次向被保险人提出损害赔偿请求，依照中华人民共和国法律应由被保险人承担经济赔偿责任的，保险人按照保险合同约定负责赔偿。</w:t>
            </w:r>
          </w:p>
          <w:p w14:paraId="0755E06C">
            <w:pPr>
              <w:autoSpaceDE w:val="0"/>
              <w:autoSpaceDN w:val="0"/>
              <w:adjustRightInd w:val="0"/>
              <w:spacing w:line="480" w:lineRule="exact"/>
              <w:ind w:firstLine="560"/>
              <w:jc w:val="left"/>
              <w:rPr>
                <w:rFonts w:ascii="宋体" w:hAnsi="宋体" w:eastAsia="宋体" w:cs="宋体"/>
                <w:kern w:val="0"/>
                <w:szCs w:val="21"/>
              </w:rPr>
            </w:pPr>
          </w:p>
          <w:p w14:paraId="3CE5BE53">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7.6 在保险单中列明的保险期间或者追溯期内，在被保险人处进修的医务人员，经指导医师同意并按照指导医师的要求从事诊疗活动过程中造成患者人身损害的，患者或者其近亲属或者其代理人在保险期间内首次向被保险人提出损害赔偿请求，依照中华人民共和国法律应由被保险人承担的经济赔偿责任，保险人按照保险合同约定负责赔偿。</w:t>
            </w:r>
          </w:p>
          <w:p w14:paraId="08ACD41E">
            <w:pPr>
              <w:autoSpaceDE w:val="0"/>
              <w:autoSpaceDN w:val="0"/>
              <w:adjustRightInd w:val="0"/>
              <w:spacing w:line="480" w:lineRule="exact"/>
              <w:ind w:firstLine="560"/>
              <w:jc w:val="left"/>
              <w:rPr>
                <w:rFonts w:ascii="宋体" w:hAnsi="宋体" w:eastAsia="宋体" w:cs="宋体"/>
                <w:kern w:val="0"/>
                <w:szCs w:val="21"/>
              </w:rPr>
            </w:pPr>
          </w:p>
          <w:p w14:paraId="45F5B8B1">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7.7 保险人同意将被保险人根据外聘合同聘用以及根据卫生行政部门制定的帮扶政策聘用的外聘医务人员、或正常会诊的非本医疗机构的医务人员视为被保险人的医务人员。</w:t>
            </w:r>
          </w:p>
          <w:p w14:paraId="2D3C4D30">
            <w:pPr>
              <w:autoSpaceDE w:val="0"/>
              <w:autoSpaceDN w:val="0"/>
              <w:adjustRightInd w:val="0"/>
              <w:spacing w:line="480" w:lineRule="exact"/>
              <w:ind w:firstLine="560"/>
              <w:jc w:val="left"/>
              <w:rPr>
                <w:rFonts w:ascii="宋体" w:hAnsi="宋体" w:eastAsia="宋体" w:cs="宋体"/>
                <w:kern w:val="0"/>
                <w:szCs w:val="21"/>
              </w:rPr>
            </w:pPr>
          </w:p>
          <w:p w14:paraId="18C98CC7">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7.8 在保险单中列明的保险期间或者追溯期内，按照被保险人轮岗管理制度要求的医务人员，在轮岗期间从事诊疗活动过程中造成患者人身损害的，患者或者其近亲属或者其代理人在保险期间内首次向被保险人提出损害赔偿请求，依照中华人民共和国法律应由被保险人承担的经济赔偿责任，保险人按照保险合同约定负责赔偿。</w:t>
            </w:r>
          </w:p>
          <w:p w14:paraId="0F73874B">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7.9 被保险人聘用的医务人员，在注册或变更注册期间发生的保险事故，属于保险责任范围。</w:t>
            </w:r>
          </w:p>
          <w:p w14:paraId="6E3E9BE2">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7.10 被保险人向保险人请求赔偿保险金的的诉讼时效自被保险人对第三者应负的赔偿责任确定之日起计算。</w:t>
            </w:r>
          </w:p>
          <w:p w14:paraId="091FFED4">
            <w:pPr>
              <w:pStyle w:val="2"/>
              <w:ind w:firstLine="0"/>
              <w:rPr>
                <w:rFonts w:hint="eastAsia" w:eastAsia="宋体" w:cs="宋体"/>
                <w:color w:val="auto"/>
                <w:sz w:val="21"/>
                <w:szCs w:val="21"/>
              </w:rPr>
            </w:pPr>
            <w:r>
              <w:rPr>
                <w:rFonts w:hint="eastAsia" w:eastAsia="宋体" w:cs="宋体"/>
                <w:color w:val="auto"/>
                <w:sz w:val="21"/>
                <w:szCs w:val="21"/>
                <w:lang w:val="en-US" w:eastAsia="zh-CN"/>
              </w:rPr>
              <w:t xml:space="preserve">7.11 </w:t>
            </w:r>
            <w:r>
              <w:rPr>
                <w:rFonts w:hint="eastAsia" w:eastAsia="宋体" w:cs="宋体"/>
                <w:color w:val="auto"/>
                <w:sz w:val="21"/>
                <w:szCs w:val="21"/>
              </w:rPr>
              <w:t>被保险人因医疗纠纷处理（包含自行和解和人民调解）过程中，为了查明医疗纠纷原因和损失产生的鉴定费以及其他必要的、合理的费用，保险人按保险合同约定的法律费用限额内负责赔偿。医疗纠纷是指医患双方因诊疗活动引发的争议。</w:t>
            </w:r>
          </w:p>
          <w:p w14:paraId="462D6145">
            <w:pPr>
              <w:pStyle w:val="3"/>
            </w:pPr>
          </w:p>
          <w:p w14:paraId="456F5613">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7.1</w:t>
            </w:r>
            <w:r>
              <w:rPr>
                <w:rFonts w:hint="eastAsia" w:ascii="宋体" w:hAnsi="宋体" w:eastAsia="宋体" w:cs="宋体"/>
                <w:kern w:val="0"/>
                <w:szCs w:val="21"/>
                <w:lang w:val="en-US" w:eastAsia="zh-CN"/>
              </w:rPr>
              <w:t>2</w:t>
            </w:r>
            <w:r>
              <w:rPr>
                <w:rFonts w:hint="eastAsia" w:ascii="宋体" w:hAnsi="宋体" w:eastAsia="宋体" w:cs="宋体"/>
                <w:kern w:val="0"/>
                <w:szCs w:val="21"/>
              </w:rPr>
              <w:t xml:space="preserve"> 保险合同所称的“诊疗活动”，也包括在保险合同中列明的保险期间或者追溯期内，被保险人或者其医务人员在被保险人自营平台从事与其资格相符的互联网诊疗活动中造成患者人身损害，患者或者其近亲属或者其代理人在保险期间内首次向被保险人提出损害赔偿请求，依照中华人民共和国法律（不包括港、澳、台地区法律）应由被保险人承担经济赔偿责任，保险人按照保险合同约定负责赔偿。</w:t>
            </w:r>
          </w:p>
          <w:p w14:paraId="04738010">
            <w:pPr>
              <w:autoSpaceDE w:val="0"/>
              <w:autoSpaceDN w:val="0"/>
              <w:adjustRightInd w:val="0"/>
              <w:spacing w:line="480" w:lineRule="exact"/>
              <w:jc w:val="left"/>
              <w:rPr>
                <w:rFonts w:ascii="宋体" w:hAnsi="宋体" w:eastAsia="宋体" w:cs="宋体"/>
                <w:kern w:val="0"/>
                <w:szCs w:val="21"/>
              </w:rPr>
            </w:pPr>
            <w:r>
              <w:rPr>
                <w:rFonts w:hint="eastAsia" w:ascii="宋体" w:hAnsi="宋体" w:eastAsia="宋体" w:cs="宋体"/>
                <w:kern w:val="0"/>
                <w:szCs w:val="21"/>
              </w:rPr>
              <w:t>7.1</w:t>
            </w:r>
            <w:r>
              <w:rPr>
                <w:rFonts w:hint="eastAsia" w:ascii="宋体" w:hAnsi="宋体" w:eastAsia="宋体" w:cs="宋体"/>
                <w:kern w:val="0"/>
                <w:szCs w:val="21"/>
                <w:lang w:val="en-US" w:eastAsia="zh-CN"/>
              </w:rPr>
              <w:t>3</w:t>
            </w:r>
            <w:r>
              <w:rPr>
                <w:rFonts w:hint="eastAsia" w:ascii="宋体" w:hAnsi="宋体" w:eastAsia="宋体" w:cs="宋体"/>
                <w:kern w:val="0"/>
                <w:szCs w:val="21"/>
              </w:rPr>
              <w:t xml:space="preserve"> 确定患方首次向被保险人提出损害赔偿请求的时间规则：</w:t>
            </w:r>
          </w:p>
          <w:p w14:paraId="09EDB854">
            <w:pPr>
              <w:autoSpaceDE w:val="0"/>
              <w:autoSpaceDN w:val="0"/>
              <w:adjustRightInd w:val="0"/>
              <w:spacing w:line="480" w:lineRule="exact"/>
              <w:ind w:firstLine="560"/>
              <w:jc w:val="left"/>
              <w:rPr>
                <w:rFonts w:ascii="宋体" w:hAnsi="宋体" w:eastAsia="宋体" w:cs="宋体"/>
                <w:kern w:val="0"/>
                <w:szCs w:val="21"/>
              </w:rPr>
            </w:pPr>
            <w:r>
              <w:rPr>
                <w:rFonts w:hint="eastAsia" w:ascii="宋体" w:hAnsi="宋体" w:eastAsia="宋体" w:cs="宋体"/>
                <w:kern w:val="0"/>
                <w:szCs w:val="21"/>
              </w:rPr>
              <w:t>①患者接受诊疗活动导致人身损害的时间、患方首次投诉时间和医疗机构报案时间在同一保险期间内的案件，以医疗机构报案时填写的时间为准。</w:t>
            </w:r>
          </w:p>
          <w:p w14:paraId="10898515">
            <w:pPr>
              <w:autoSpaceDE w:val="0"/>
              <w:autoSpaceDN w:val="0"/>
              <w:adjustRightInd w:val="0"/>
              <w:spacing w:line="480" w:lineRule="exact"/>
              <w:ind w:firstLine="560"/>
              <w:jc w:val="left"/>
              <w:rPr>
                <w:rFonts w:ascii="宋体" w:hAnsi="宋体" w:eastAsia="宋体" w:cs="宋体"/>
                <w:szCs w:val="21"/>
              </w:rPr>
            </w:pPr>
            <w:r>
              <w:rPr>
                <w:rFonts w:hint="eastAsia" w:ascii="宋体" w:hAnsi="宋体" w:eastAsia="宋体" w:cs="宋体"/>
                <w:kern w:val="0"/>
                <w:szCs w:val="21"/>
              </w:rPr>
              <w:t>②患者接受诊疗活动导致人身损害的时间、患方首次投诉时间和医疗机构报案时间不在同一保险期内的案件，以下述材料记载时间中最早的日期为准：患方向医疗机构或者行政部门书面投诉材料日期(患方或患方代理人签字）、司法鉴定（含尸检和医疗事故鉴定）的申请日期、人民调解申请日期、法院传票通知日期等与纠纷相关书面材料。</w:t>
            </w:r>
          </w:p>
        </w:tc>
      </w:tr>
      <w:tr w14:paraId="5DA81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exact"/>
          <w:jc w:val="center"/>
        </w:trPr>
        <w:tc>
          <w:tcPr>
            <w:tcW w:w="1431" w:type="dxa"/>
            <w:vAlign w:val="center"/>
          </w:tcPr>
          <w:p w14:paraId="6A8AA3A1">
            <w:pPr>
              <w:spacing w:line="400" w:lineRule="exact"/>
              <w:ind w:left="42" w:leftChars="20" w:right="-76" w:rightChars="-36"/>
              <w:rPr>
                <w:rFonts w:ascii="宋体" w:hAnsi="宋体"/>
                <w:b/>
                <w:szCs w:val="21"/>
              </w:rPr>
            </w:pPr>
            <w:r>
              <w:rPr>
                <w:rFonts w:hint="eastAsia" w:ascii="宋体" w:hAnsi="宋体"/>
                <w:b/>
                <w:szCs w:val="21"/>
              </w:rPr>
              <w:t>8、</w:t>
            </w:r>
            <w:r>
              <w:rPr>
                <w:rFonts w:ascii="宋体" w:hAnsi="宋体"/>
                <w:b/>
                <w:szCs w:val="21"/>
              </w:rPr>
              <w:t>保险期限：</w:t>
            </w:r>
          </w:p>
        </w:tc>
        <w:tc>
          <w:tcPr>
            <w:tcW w:w="8184" w:type="dxa"/>
            <w:vAlign w:val="center"/>
          </w:tcPr>
          <w:p w14:paraId="6DE8AEF7">
            <w:pPr>
              <w:spacing w:line="400" w:lineRule="exact"/>
              <w:ind w:left="42" w:leftChars="20" w:right="145" w:rightChars="69"/>
              <w:rPr>
                <w:rFonts w:ascii="宋体" w:hAnsi="宋体"/>
                <w:szCs w:val="21"/>
              </w:rPr>
            </w:pPr>
            <w:r>
              <w:rPr>
                <w:rFonts w:hint="default" w:ascii="宋体" w:hAnsi="宋体"/>
                <w:szCs w:val="21"/>
              </w:rPr>
              <w:t>两</w:t>
            </w:r>
            <w:r>
              <w:rPr>
                <w:rFonts w:hint="eastAsia" w:ascii="宋体" w:hAnsi="宋体"/>
                <w:szCs w:val="21"/>
              </w:rPr>
              <w:t>年，自合同签订之日起</w:t>
            </w:r>
          </w:p>
        </w:tc>
      </w:tr>
      <w:tr w14:paraId="00A32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exact"/>
          <w:jc w:val="center"/>
        </w:trPr>
        <w:tc>
          <w:tcPr>
            <w:tcW w:w="1431" w:type="dxa"/>
            <w:vAlign w:val="center"/>
          </w:tcPr>
          <w:p w14:paraId="5AB76AA1">
            <w:pPr>
              <w:spacing w:line="400" w:lineRule="exact"/>
              <w:ind w:left="42" w:leftChars="20" w:right="-76" w:rightChars="-36"/>
              <w:rPr>
                <w:rFonts w:ascii="宋体" w:hAnsi="宋体"/>
                <w:b/>
                <w:szCs w:val="21"/>
              </w:rPr>
            </w:pPr>
            <w:r>
              <w:rPr>
                <w:rFonts w:hint="eastAsia" w:ascii="宋体" w:hAnsi="宋体"/>
                <w:b/>
                <w:szCs w:val="21"/>
              </w:rPr>
              <w:t>9、追溯期</w:t>
            </w:r>
          </w:p>
        </w:tc>
        <w:tc>
          <w:tcPr>
            <w:tcW w:w="8184" w:type="dxa"/>
            <w:vAlign w:val="center"/>
          </w:tcPr>
          <w:p w14:paraId="0FE1565C">
            <w:pPr>
              <w:spacing w:line="400" w:lineRule="exact"/>
              <w:ind w:left="42" w:leftChars="20" w:right="145" w:rightChars="69"/>
              <w:rPr>
                <w:rFonts w:ascii="宋体" w:hAnsi="宋体"/>
                <w:szCs w:val="21"/>
              </w:rPr>
            </w:pPr>
            <w:r>
              <w:rPr>
                <w:rFonts w:hint="eastAsia" w:asciiTheme="minorEastAsia" w:hAnsiTheme="minorEastAsia" w:cstheme="minorEastAsia"/>
                <w:szCs w:val="21"/>
              </w:rPr>
              <w:t>三年</w:t>
            </w:r>
          </w:p>
        </w:tc>
      </w:tr>
      <w:tr w14:paraId="1609F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exact"/>
          <w:jc w:val="center"/>
        </w:trPr>
        <w:tc>
          <w:tcPr>
            <w:tcW w:w="1431" w:type="dxa"/>
            <w:vAlign w:val="center"/>
          </w:tcPr>
          <w:p w14:paraId="0927A58E">
            <w:pPr>
              <w:spacing w:line="400" w:lineRule="exact"/>
              <w:ind w:left="42" w:leftChars="20" w:right="-76" w:rightChars="-36"/>
              <w:rPr>
                <w:rFonts w:ascii="宋体" w:hAnsi="宋体"/>
                <w:b/>
                <w:szCs w:val="21"/>
              </w:rPr>
            </w:pPr>
            <w:r>
              <w:rPr>
                <w:rFonts w:hint="eastAsia" w:ascii="宋体" w:hAnsi="宋体"/>
                <w:b/>
                <w:szCs w:val="21"/>
              </w:rPr>
              <w:t>10、</w:t>
            </w:r>
            <w:r>
              <w:rPr>
                <w:rFonts w:ascii="宋体" w:hAnsi="宋体"/>
                <w:b/>
                <w:szCs w:val="21"/>
              </w:rPr>
              <w:t>赔偿处理：</w:t>
            </w:r>
          </w:p>
        </w:tc>
        <w:tc>
          <w:tcPr>
            <w:tcW w:w="8184" w:type="dxa"/>
            <w:vAlign w:val="center"/>
          </w:tcPr>
          <w:p w14:paraId="51B7F3E9">
            <w:pPr>
              <w:spacing w:line="400" w:lineRule="exact"/>
              <w:ind w:left="42" w:leftChars="20" w:right="145" w:rightChars="69"/>
              <w:rPr>
                <w:rFonts w:ascii="宋体" w:hAnsi="宋体"/>
                <w:szCs w:val="21"/>
              </w:rPr>
            </w:pPr>
            <w:r>
              <w:rPr>
                <w:rFonts w:hint="eastAsia" w:ascii="宋体" w:hAnsi="宋体" w:cs="宋体"/>
                <w:kern w:val="0"/>
                <w:szCs w:val="21"/>
              </w:rPr>
              <w:t>依据附件一：《保险索赔、理赔处理程序预案》、附件二：《广东省医疗责任保险赔偿处理办法（暂行）》。</w:t>
            </w:r>
          </w:p>
        </w:tc>
      </w:tr>
      <w:tr w14:paraId="6145A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jc w:val="center"/>
        </w:trPr>
        <w:tc>
          <w:tcPr>
            <w:tcW w:w="1431" w:type="dxa"/>
            <w:tcBorders>
              <w:bottom w:val="single" w:color="auto" w:sz="4" w:space="0"/>
            </w:tcBorders>
            <w:vAlign w:val="center"/>
          </w:tcPr>
          <w:p w14:paraId="05F8D42D">
            <w:pPr>
              <w:spacing w:line="400" w:lineRule="exact"/>
              <w:ind w:left="42" w:leftChars="20" w:right="-76" w:rightChars="-36"/>
              <w:rPr>
                <w:rFonts w:ascii="宋体" w:hAnsi="宋体"/>
                <w:b/>
                <w:szCs w:val="21"/>
              </w:rPr>
            </w:pPr>
            <w:r>
              <w:rPr>
                <w:rFonts w:ascii="宋体" w:hAnsi="宋体"/>
                <w:b/>
                <w:szCs w:val="21"/>
              </w:rPr>
              <w:t>1</w:t>
            </w:r>
            <w:r>
              <w:rPr>
                <w:rFonts w:hint="eastAsia" w:ascii="宋体" w:hAnsi="宋体"/>
                <w:b/>
                <w:szCs w:val="21"/>
              </w:rPr>
              <w:t>1、</w:t>
            </w:r>
            <w:r>
              <w:rPr>
                <w:rFonts w:ascii="宋体" w:hAnsi="宋体"/>
                <w:b/>
                <w:szCs w:val="21"/>
              </w:rPr>
              <w:t>司法管辖：</w:t>
            </w:r>
          </w:p>
        </w:tc>
        <w:tc>
          <w:tcPr>
            <w:tcW w:w="8184" w:type="dxa"/>
            <w:tcBorders>
              <w:bottom w:val="single" w:color="auto" w:sz="4" w:space="0"/>
            </w:tcBorders>
            <w:vAlign w:val="center"/>
          </w:tcPr>
          <w:p w14:paraId="32377FE4">
            <w:pPr>
              <w:spacing w:line="400" w:lineRule="exact"/>
              <w:ind w:left="42" w:leftChars="20" w:right="145" w:rightChars="69"/>
              <w:rPr>
                <w:rFonts w:ascii="宋体" w:hAnsi="宋体"/>
                <w:szCs w:val="21"/>
              </w:rPr>
            </w:pPr>
            <w:r>
              <w:rPr>
                <w:rFonts w:ascii="宋体" w:hAnsi="宋体"/>
                <w:szCs w:val="21"/>
              </w:rPr>
              <w:t>适用于中华人民共和国司法管辖</w:t>
            </w:r>
            <w:r>
              <w:rPr>
                <w:rFonts w:hint="eastAsia" w:ascii="宋体" w:hAnsi="宋体"/>
                <w:szCs w:val="21"/>
              </w:rPr>
              <w:t>（不含港、澳、台地区法律）</w:t>
            </w:r>
          </w:p>
        </w:tc>
      </w:tr>
      <w:tr w14:paraId="40E17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exact"/>
          <w:jc w:val="center"/>
        </w:trPr>
        <w:tc>
          <w:tcPr>
            <w:tcW w:w="1431" w:type="dxa"/>
            <w:tcBorders>
              <w:top w:val="single" w:color="auto" w:sz="4" w:space="0"/>
            </w:tcBorders>
            <w:vAlign w:val="center"/>
          </w:tcPr>
          <w:p w14:paraId="005A060A">
            <w:pPr>
              <w:spacing w:line="400" w:lineRule="exact"/>
              <w:ind w:left="42" w:leftChars="20" w:right="-76" w:rightChars="-36"/>
              <w:rPr>
                <w:rFonts w:ascii="宋体" w:hAnsi="宋体"/>
                <w:b/>
                <w:szCs w:val="21"/>
              </w:rPr>
            </w:pPr>
            <w:r>
              <w:rPr>
                <w:rFonts w:ascii="宋体" w:hAnsi="宋体"/>
                <w:b/>
                <w:szCs w:val="21"/>
              </w:rPr>
              <w:t>1</w:t>
            </w:r>
            <w:r>
              <w:rPr>
                <w:rFonts w:hint="eastAsia" w:ascii="宋体" w:hAnsi="宋体"/>
                <w:b/>
                <w:szCs w:val="21"/>
              </w:rPr>
              <w:t>2、</w:t>
            </w:r>
            <w:r>
              <w:rPr>
                <w:rFonts w:ascii="宋体" w:hAnsi="宋体"/>
                <w:b/>
                <w:szCs w:val="21"/>
              </w:rPr>
              <w:t>保险费：</w:t>
            </w:r>
          </w:p>
        </w:tc>
        <w:tc>
          <w:tcPr>
            <w:tcW w:w="8184" w:type="dxa"/>
            <w:tcBorders>
              <w:top w:val="single" w:color="auto" w:sz="4" w:space="0"/>
            </w:tcBorders>
            <w:vAlign w:val="center"/>
          </w:tcPr>
          <w:p w14:paraId="14318952">
            <w:pPr>
              <w:spacing w:line="400" w:lineRule="exact"/>
              <w:ind w:left="42" w:leftChars="20" w:right="145" w:rightChars="69"/>
              <w:rPr>
                <w:rFonts w:ascii="宋体" w:hAnsi="宋体"/>
                <w:szCs w:val="21"/>
              </w:rPr>
            </w:pPr>
            <w:r>
              <w:rPr>
                <w:rFonts w:ascii="宋体" w:hAnsi="宋体"/>
                <w:szCs w:val="21"/>
              </w:rPr>
              <w:t>请根据格式报价</w:t>
            </w:r>
          </w:p>
        </w:tc>
      </w:tr>
      <w:tr w14:paraId="028A7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0" w:hRule="exact"/>
          <w:jc w:val="center"/>
        </w:trPr>
        <w:tc>
          <w:tcPr>
            <w:tcW w:w="1431" w:type="dxa"/>
            <w:vAlign w:val="center"/>
          </w:tcPr>
          <w:p w14:paraId="4D3E93F0">
            <w:pPr>
              <w:spacing w:line="400" w:lineRule="exact"/>
              <w:ind w:right="-76" w:rightChars="-36"/>
              <w:rPr>
                <w:rFonts w:ascii="宋体" w:hAnsi="宋体"/>
                <w:b/>
                <w:szCs w:val="21"/>
              </w:rPr>
            </w:pPr>
            <w:r>
              <w:rPr>
                <w:rFonts w:hint="eastAsia" w:ascii="宋体" w:hAnsi="宋体"/>
                <w:b/>
                <w:szCs w:val="21"/>
              </w:rPr>
              <w:t>13、</w:t>
            </w:r>
            <w:r>
              <w:rPr>
                <w:rFonts w:ascii="宋体" w:hAnsi="宋体"/>
                <w:b/>
                <w:szCs w:val="21"/>
              </w:rPr>
              <w:t>保</w:t>
            </w:r>
            <w:r>
              <w:rPr>
                <w:rFonts w:hint="eastAsia" w:ascii="宋体" w:hAnsi="宋体"/>
                <w:b/>
                <w:szCs w:val="21"/>
                <w:lang w:val="en-US" w:eastAsia="zh-CN"/>
              </w:rPr>
              <w:t>险</w:t>
            </w:r>
            <w:r>
              <w:rPr>
                <w:rFonts w:ascii="宋体" w:hAnsi="宋体"/>
                <w:b/>
                <w:szCs w:val="21"/>
              </w:rPr>
              <w:t>费支付</w:t>
            </w:r>
          </w:p>
          <w:p w14:paraId="23DD0832">
            <w:pPr>
              <w:spacing w:line="400" w:lineRule="exact"/>
              <w:ind w:right="-76" w:rightChars="-36"/>
              <w:rPr>
                <w:rFonts w:ascii="宋体" w:hAnsi="宋体"/>
                <w:b/>
                <w:szCs w:val="21"/>
              </w:rPr>
            </w:pPr>
            <w:r>
              <w:rPr>
                <w:rFonts w:hint="eastAsia" w:ascii="宋体" w:hAnsi="宋体"/>
                <w:b/>
                <w:szCs w:val="21"/>
              </w:rPr>
              <w:t>约定</w:t>
            </w:r>
            <w:r>
              <w:rPr>
                <w:rFonts w:ascii="宋体" w:hAnsi="宋体"/>
                <w:b/>
                <w:szCs w:val="21"/>
              </w:rPr>
              <w:t>：</w:t>
            </w:r>
          </w:p>
        </w:tc>
        <w:tc>
          <w:tcPr>
            <w:tcW w:w="8184" w:type="dxa"/>
            <w:vAlign w:val="center"/>
          </w:tcPr>
          <w:p w14:paraId="494648E5">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在保险合同签订并收到以下文件后45个工作日内，采购人将保费转入中标人保费专收账户。</w:t>
            </w:r>
          </w:p>
          <w:p w14:paraId="75A99202">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依据保险合同约定执行：</w:t>
            </w:r>
          </w:p>
          <w:p w14:paraId="0E134DC3">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成交人凭以下有效文件与采购人结算：</w:t>
            </w:r>
          </w:p>
          <w:p w14:paraId="5918E5F7">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（1）合同；</w:t>
            </w:r>
          </w:p>
          <w:p w14:paraId="5EB85976">
            <w:pPr>
              <w:tabs>
                <w:tab w:val="left" w:pos="360"/>
              </w:tabs>
              <w:spacing w:line="276"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（2）成交人开具的正式发票；</w:t>
            </w:r>
          </w:p>
          <w:p w14:paraId="7317432D">
            <w:pPr>
              <w:tabs>
                <w:tab w:val="left" w:pos="360"/>
              </w:tabs>
              <w:spacing w:line="276"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（3）成交通知书</w:t>
            </w:r>
          </w:p>
          <w:p w14:paraId="09AEFAE6">
            <w:pPr>
              <w:pStyle w:val="2"/>
              <w:rPr>
                <w:rFonts w:hint="eastAsia"/>
              </w:rPr>
            </w:pPr>
          </w:p>
          <w:p w14:paraId="1AD6837B">
            <w:pPr>
              <w:tabs>
                <w:tab w:val="left" w:pos="360"/>
              </w:tabs>
              <w:spacing w:line="276" w:lineRule="auto"/>
              <w:ind w:firstLine="420" w:firstLineChars="200"/>
              <w:jc w:val="left"/>
              <w:rPr>
                <w:rFonts w:ascii="宋体" w:hAnsi="宋体" w:eastAsia="宋体" w:cs="宋体"/>
                <w:kern w:val="0"/>
                <w:szCs w:val="21"/>
              </w:rPr>
            </w:pPr>
          </w:p>
          <w:p w14:paraId="524E0D7F">
            <w:pPr>
              <w:spacing w:line="400" w:lineRule="exact"/>
              <w:ind w:left="42" w:leftChars="20" w:right="145" w:rightChars="69" w:firstLine="420" w:firstLineChars="200"/>
              <w:jc w:val="left"/>
              <w:rPr>
                <w:rFonts w:ascii="宋体" w:hAnsi="宋体"/>
                <w:szCs w:val="21"/>
              </w:rPr>
            </w:pPr>
            <w:r>
              <w:rPr>
                <w:rFonts w:hint="eastAsia" w:ascii="宋体" w:hAnsi="宋体" w:eastAsia="宋体" w:cs="宋体"/>
                <w:kern w:val="0"/>
                <w:szCs w:val="21"/>
              </w:rPr>
              <w:t>（3）成交通知书</w:t>
            </w:r>
          </w:p>
        </w:tc>
      </w:tr>
    </w:tbl>
    <w:p w14:paraId="5204DFBF">
      <w:pPr>
        <w:pStyle w:val="6"/>
        <w:spacing w:line="360" w:lineRule="auto"/>
        <w:jc w:val="left"/>
        <w:rPr>
          <w:rStyle w:val="28"/>
          <w:rFonts w:hint="eastAsia" w:cs="宋体"/>
          <w:sz w:val="24"/>
        </w:rPr>
      </w:pPr>
      <w:bookmarkStart w:id="51" w:name="_Toc4834"/>
      <w:r>
        <w:rPr>
          <w:rFonts w:hint="eastAsia"/>
        </w:rPr>
        <w:t xml:space="preserve"> </w:t>
      </w:r>
      <w:bookmarkStart w:id="52" w:name="_Toc7083"/>
      <w:bookmarkStart w:id="53" w:name="_Toc19156"/>
      <w:bookmarkStart w:id="54" w:name="_Toc6450"/>
      <w:bookmarkStart w:id="55" w:name="_Toc13504"/>
      <w:bookmarkStart w:id="56" w:name="_Toc29391"/>
      <w:bookmarkStart w:id="57" w:name="_Toc11216"/>
      <w:bookmarkStart w:id="58" w:name="_Toc9917"/>
      <w:bookmarkStart w:id="59" w:name="_Toc16036"/>
      <w:bookmarkStart w:id="60" w:name="_Toc28248"/>
      <w:bookmarkStart w:id="61" w:name="_Toc3459"/>
      <w:bookmarkStart w:id="62" w:name="_Toc21962"/>
      <w:bookmarkStart w:id="63" w:name="_Toc23999"/>
      <w:bookmarkStart w:id="64" w:name="_Toc23019"/>
      <w:bookmarkStart w:id="65" w:name="_Toc19163"/>
      <w:bookmarkStart w:id="66" w:name="_Toc22623"/>
      <w:bookmarkStart w:id="67" w:name="_Toc42"/>
      <w:bookmarkStart w:id="68" w:name="_Toc18131"/>
      <w:bookmarkStart w:id="69" w:name="_Toc28857"/>
      <w:bookmarkStart w:id="70" w:name="_Toc23344"/>
      <w:bookmarkStart w:id="71" w:name="_Toc6295"/>
      <w:bookmarkStart w:id="72" w:name="_Toc24153"/>
      <w:bookmarkStart w:id="73" w:name="_Toc16502"/>
      <w:bookmarkStart w:id="74" w:name="_Toc18197"/>
      <w:bookmarkStart w:id="75" w:name="_Toc440831197"/>
      <w:r>
        <w:rPr>
          <w:rStyle w:val="28"/>
          <w:rFonts w:hint="eastAsia" w:cs="宋体"/>
          <w:sz w:val="24"/>
        </w:rPr>
        <w:t>（二）服务要求</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5CBD99F6">
      <w:pPr>
        <w:spacing w:line="480" w:lineRule="exact"/>
        <w:ind w:firstLine="420" w:firstLineChars="200"/>
        <w:jc w:val="left"/>
        <w:rPr>
          <w:rFonts w:ascii="宋体" w:hAnsi="宋体" w:cs="宋体"/>
          <w:szCs w:val="21"/>
        </w:rPr>
      </w:pPr>
      <w:r>
        <w:rPr>
          <w:rFonts w:hint="eastAsia" w:ascii="宋体" w:hAnsi="宋体" w:cs="宋体"/>
          <w:szCs w:val="21"/>
        </w:rPr>
        <w:t>为保证与投保人</w:t>
      </w:r>
      <w:r>
        <w:rPr>
          <w:rFonts w:ascii="宋体" w:hAnsi="宋体" w:cs="宋体"/>
          <w:szCs w:val="21"/>
        </w:rPr>
        <w:t>/</w:t>
      </w:r>
      <w:r>
        <w:rPr>
          <w:rFonts w:hint="eastAsia" w:ascii="宋体" w:hAnsi="宋体" w:cs="宋体"/>
          <w:szCs w:val="21"/>
        </w:rPr>
        <w:t>被保险人建立良好的保险合作关系，承保保险公司应切实履行以下服务，并组织实施。</w:t>
      </w:r>
    </w:p>
    <w:p w14:paraId="20544A6B">
      <w:pPr>
        <w:numPr>
          <w:ilvl w:val="1"/>
          <w:numId w:val="3"/>
        </w:numPr>
        <w:tabs>
          <w:tab w:val="left" w:pos="600"/>
          <w:tab w:val="left" w:pos="1080"/>
        </w:tabs>
        <w:spacing w:line="480" w:lineRule="exact"/>
        <w:ind w:firstLine="420" w:firstLineChars="200"/>
        <w:jc w:val="left"/>
        <w:rPr>
          <w:rFonts w:ascii="宋体" w:hAnsi="宋体" w:cs="宋体"/>
          <w:szCs w:val="21"/>
        </w:rPr>
      </w:pPr>
      <w:r>
        <w:rPr>
          <w:rFonts w:hint="eastAsia" w:ascii="宋体" w:hAnsi="宋体" w:cs="宋体"/>
          <w:szCs w:val="21"/>
        </w:rPr>
        <w:t>成立专项服务小组</w:t>
      </w:r>
    </w:p>
    <w:p w14:paraId="112803FB">
      <w:pPr>
        <w:numPr>
          <w:ilvl w:val="255"/>
          <w:numId w:val="0"/>
        </w:numPr>
        <w:tabs>
          <w:tab w:val="left" w:pos="600"/>
          <w:tab w:val="left" w:pos="1080"/>
        </w:tabs>
        <w:ind w:firstLine="420" w:firstLineChars="200"/>
        <w:rPr>
          <w:rFonts w:ascii="宋体" w:hAnsi="宋体" w:cs="宋体"/>
          <w:szCs w:val="21"/>
        </w:rPr>
      </w:pPr>
      <w:r>
        <w:rPr>
          <w:rFonts w:hint="eastAsia" w:ascii="宋体" w:hAnsi="宋体" w:cs="宋体"/>
          <w:szCs w:val="21"/>
        </w:rPr>
        <w:t>服务小组人员要求：具备医学或保险或法律相关专业背景，同时具有大专/大专以上学历或初级以上职称的服务人员。</w:t>
      </w:r>
    </w:p>
    <w:p w14:paraId="01E655E3">
      <w:pPr>
        <w:spacing w:line="480" w:lineRule="exact"/>
        <w:ind w:firstLine="420" w:firstLineChars="200"/>
        <w:jc w:val="left"/>
        <w:rPr>
          <w:rFonts w:ascii="宋体" w:hAnsi="宋体" w:cs="宋体"/>
          <w:szCs w:val="21"/>
        </w:rPr>
      </w:pPr>
      <w:r>
        <w:rPr>
          <w:rFonts w:hint="eastAsia" w:ascii="宋体" w:hAnsi="宋体" w:cs="宋体"/>
          <w:szCs w:val="21"/>
        </w:rPr>
        <w:t>项目专项服务小组应按照以下方式组成：</w:t>
      </w:r>
    </w:p>
    <w:p w14:paraId="438F21C6">
      <w:pPr>
        <w:spacing w:line="480" w:lineRule="exact"/>
        <w:ind w:firstLine="420" w:firstLineChars="200"/>
        <w:jc w:val="left"/>
        <w:rPr>
          <w:rFonts w:ascii="宋体" w:hAnsi="宋体" w:cs="宋体"/>
          <w:szCs w:val="21"/>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2782"/>
        <w:gridCol w:w="1915"/>
        <w:gridCol w:w="2120"/>
      </w:tblGrid>
      <w:tr w14:paraId="3256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63" w:type="dxa"/>
          </w:tcPr>
          <w:p w14:paraId="03BA0754">
            <w:pPr>
              <w:jc w:val="center"/>
              <w:rPr>
                <w:rFonts w:ascii="宋体" w:cs="宋体"/>
                <w:szCs w:val="21"/>
              </w:rPr>
            </w:pPr>
            <w:r>
              <w:rPr>
                <w:rFonts w:hint="eastAsia" w:ascii="宋体" w:hAnsi="宋体" w:cs="宋体"/>
                <w:szCs w:val="21"/>
              </w:rPr>
              <w:t>姓名</w:t>
            </w:r>
          </w:p>
        </w:tc>
        <w:tc>
          <w:tcPr>
            <w:tcW w:w="2782" w:type="dxa"/>
          </w:tcPr>
          <w:p w14:paraId="6B13C23D">
            <w:pPr>
              <w:jc w:val="center"/>
              <w:rPr>
                <w:rFonts w:ascii="宋体" w:cs="宋体"/>
                <w:szCs w:val="21"/>
              </w:rPr>
            </w:pPr>
            <w:r>
              <w:rPr>
                <w:rFonts w:hint="eastAsia" w:ascii="宋体" w:hAnsi="宋体" w:cs="宋体"/>
                <w:szCs w:val="21"/>
              </w:rPr>
              <w:t>职务</w:t>
            </w:r>
          </w:p>
        </w:tc>
        <w:tc>
          <w:tcPr>
            <w:tcW w:w="1915" w:type="dxa"/>
          </w:tcPr>
          <w:p w14:paraId="13F58081">
            <w:pPr>
              <w:jc w:val="center"/>
              <w:rPr>
                <w:rFonts w:ascii="宋体" w:cs="宋体"/>
                <w:szCs w:val="21"/>
              </w:rPr>
            </w:pPr>
            <w:r>
              <w:rPr>
                <w:rFonts w:hint="eastAsia" w:ascii="宋体" w:hAnsi="宋体" w:cs="宋体"/>
                <w:szCs w:val="21"/>
              </w:rPr>
              <w:t>办公电话</w:t>
            </w:r>
          </w:p>
        </w:tc>
        <w:tc>
          <w:tcPr>
            <w:tcW w:w="2120" w:type="dxa"/>
          </w:tcPr>
          <w:p w14:paraId="246BBE05">
            <w:pPr>
              <w:jc w:val="center"/>
              <w:rPr>
                <w:rFonts w:ascii="宋体" w:cs="宋体"/>
                <w:szCs w:val="21"/>
              </w:rPr>
            </w:pPr>
            <w:r>
              <w:rPr>
                <w:rFonts w:hint="eastAsia" w:ascii="宋体" w:hAnsi="宋体" w:cs="宋体"/>
                <w:szCs w:val="21"/>
              </w:rPr>
              <w:t>手机</w:t>
            </w:r>
          </w:p>
        </w:tc>
      </w:tr>
      <w:tr w14:paraId="4E4E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663" w:type="dxa"/>
          </w:tcPr>
          <w:p w14:paraId="67FD1A26">
            <w:pPr>
              <w:jc w:val="left"/>
              <w:rPr>
                <w:rFonts w:ascii="宋体" w:cs="宋体"/>
                <w:szCs w:val="21"/>
              </w:rPr>
            </w:pPr>
          </w:p>
        </w:tc>
        <w:tc>
          <w:tcPr>
            <w:tcW w:w="2782" w:type="dxa"/>
          </w:tcPr>
          <w:p w14:paraId="6D68BE37">
            <w:pPr>
              <w:jc w:val="left"/>
              <w:rPr>
                <w:rFonts w:ascii="宋体" w:cs="宋体"/>
                <w:szCs w:val="21"/>
              </w:rPr>
            </w:pPr>
            <w:r>
              <w:rPr>
                <w:rFonts w:hint="eastAsia" w:ascii="宋体" w:hAnsi="宋体" w:cs="宋体"/>
                <w:szCs w:val="21"/>
              </w:rPr>
              <w:t>应为专项服务小组领导人员</w:t>
            </w:r>
          </w:p>
        </w:tc>
        <w:tc>
          <w:tcPr>
            <w:tcW w:w="1915" w:type="dxa"/>
          </w:tcPr>
          <w:p w14:paraId="6315E142">
            <w:pPr>
              <w:jc w:val="left"/>
              <w:rPr>
                <w:rFonts w:ascii="宋体" w:cs="宋体"/>
                <w:szCs w:val="21"/>
              </w:rPr>
            </w:pPr>
          </w:p>
        </w:tc>
        <w:tc>
          <w:tcPr>
            <w:tcW w:w="2120" w:type="dxa"/>
          </w:tcPr>
          <w:p w14:paraId="11D10EFA">
            <w:pPr>
              <w:jc w:val="left"/>
              <w:rPr>
                <w:rFonts w:ascii="宋体" w:cs="宋体"/>
                <w:szCs w:val="21"/>
              </w:rPr>
            </w:pPr>
          </w:p>
        </w:tc>
      </w:tr>
      <w:tr w14:paraId="709C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663" w:type="dxa"/>
          </w:tcPr>
          <w:p w14:paraId="65B900C6">
            <w:pPr>
              <w:jc w:val="left"/>
              <w:rPr>
                <w:rFonts w:ascii="宋体" w:cs="宋体"/>
                <w:szCs w:val="21"/>
              </w:rPr>
            </w:pPr>
          </w:p>
        </w:tc>
        <w:tc>
          <w:tcPr>
            <w:tcW w:w="2782" w:type="dxa"/>
          </w:tcPr>
          <w:p w14:paraId="48677857">
            <w:pPr>
              <w:jc w:val="left"/>
              <w:rPr>
                <w:rFonts w:ascii="宋体" w:cs="宋体"/>
                <w:szCs w:val="21"/>
              </w:rPr>
            </w:pPr>
            <w:r>
              <w:rPr>
                <w:rFonts w:hint="eastAsia" w:ascii="宋体" w:hAnsi="宋体" w:cs="宋体"/>
                <w:szCs w:val="21"/>
              </w:rPr>
              <w:t>应为专项服务小组专项客服人员（至少</w:t>
            </w:r>
            <w:r>
              <w:rPr>
                <w:rFonts w:ascii="宋体" w:hAnsi="宋体" w:cs="宋体"/>
                <w:szCs w:val="21"/>
              </w:rPr>
              <w:t>1</w:t>
            </w:r>
            <w:r>
              <w:rPr>
                <w:rFonts w:hint="eastAsia" w:ascii="宋体" w:hAnsi="宋体" w:cs="宋体"/>
                <w:szCs w:val="21"/>
              </w:rPr>
              <w:t>名，负责日常服务、参加听证会等）</w:t>
            </w:r>
          </w:p>
        </w:tc>
        <w:tc>
          <w:tcPr>
            <w:tcW w:w="1915" w:type="dxa"/>
          </w:tcPr>
          <w:p w14:paraId="650C200E">
            <w:pPr>
              <w:jc w:val="left"/>
              <w:rPr>
                <w:rFonts w:ascii="宋体" w:cs="宋体"/>
                <w:szCs w:val="21"/>
              </w:rPr>
            </w:pPr>
          </w:p>
        </w:tc>
        <w:tc>
          <w:tcPr>
            <w:tcW w:w="2120" w:type="dxa"/>
          </w:tcPr>
          <w:p w14:paraId="69D9F3BB">
            <w:pPr>
              <w:jc w:val="left"/>
              <w:rPr>
                <w:rFonts w:ascii="宋体" w:cs="宋体"/>
                <w:szCs w:val="21"/>
              </w:rPr>
            </w:pPr>
          </w:p>
        </w:tc>
      </w:tr>
      <w:tr w14:paraId="34AB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63" w:type="dxa"/>
          </w:tcPr>
          <w:p w14:paraId="1E283BE6">
            <w:pPr>
              <w:jc w:val="left"/>
              <w:rPr>
                <w:rFonts w:ascii="宋体" w:cs="宋体"/>
                <w:szCs w:val="21"/>
              </w:rPr>
            </w:pPr>
          </w:p>
        </w:tc>
        <w:tc>
          <w:tcPr>
            <w:tcW w:w="2782" w:type="dxa"/>
          </w:tcPr>
          <w:p w14:paraId="272B0980">
            <w:pPr>
              <w:jc w:val="left"/>
              <w:rPr>
                <w:rFonts w:ascii="宋体" w:cs="宋体"/>
                <w:szCs w:val="21"/>
              </w:rPr>
            </w:pPr>
            <w:r>
              <w:rPr>
                <w:rFonts w:hint="eastAsia" w:ascii="宋体" w:hAnsi="宋体" w:cs="宋体"/>
                <w:szCs w:val="21"/>
              </w:rPr>
              <w:t>现场服务人员（负责勘查等工作）</w:t>
            </w:r>
          </w:p>
        </w:tc>
        <w:tc>
          <w:tcPr>
            <w:tcW w:w="1915" w:type="dxa"/>
          </w:tcPr>
          <w:p w14:paraId="2AC5F5B3">
            <w:pPr>
              <w:jc w:val="left"/>
              <w:rPr>
                <w:rFonts w:ascii="宋体" w:cs="宋体"/>
                <w:szCs w:val="21"/>
              </w:rPr>
            </w:pPr>
          </w:p>
        </w:tc>
        <w:tc>
          <w:tcPr>
            <w:tcW w:w="2120" w:type="dxa"/>
          </w:tcPr>
          <w:p w14:paraId="39E1083E">
            <w:pPr>
              <w:jc w:val="left"/>
              <w:rPr>
                <w:rFonts w:ascii="宋体" w:cs="宋体"/>
                <w:szCs w:val="21"/>
              </w:rPr>
            </w:pPr>
          </w:p>
        </w:tc>
      </w:tr>
      <w:tr w14:paraId="41FB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663" w:type="dxa"/>
          </w:tcPr>
          <w:p w14:paraId="0F386FBC">
            <w:pPr>
              <w:jc w:val="left"/>
              <w:rPr>
                <w:rFonts w:ascii="宋体" w:cs="宋体"/>
                <w:szCs w:val="21"/>
              </w:rPr>
            </w:pPr>
          </w:p>
        </w:tc>
        <w:tc>
          <w:tcPr>
            <w:tcW w:w="2782" w:type="dxa"/>
          </w:tcPr>
          <w:p w14:paraId="77B8848E">
            <w:pPr>
              <w:jc w:val="left"/>
              <w:rPr>
                <w:rFonts w:ascii="宋体" w:cs="宋体"/>
                <w:szCs w:val="21"/>
              </w:rPr>
            </w:pPr>
            <w:r>
              <w:rPr>
                <w:rFonts w:hint="eastAsia" w:ascii="宋体" w:hAnsi="宋体" w:cs="宋体"/>
                <w:szCs w:val="21"/>
              </w:rPr>
              <w:t>……</w:t>
            </w:r>
          </w:p>
        </w:tc>
        <w:tc>
          <w:tcPr>
            <w:tcW w:w="1915" w:type="dxa"/>
          </w:tcPr>
          <w:p w14:paraId="7FD5418F">
            <w:pPr>
              <w:jc w:val="left"/>
              <w:rPr>
                <w:rFonts w:ascii="宋体" w:cs="宋体"/>
                <w:szCs w:val="21"/>
              </w:rPr>
            </w:pPr>
          </w:p>
        </w:tc>
        <w:tc>
          <w:tcPr>
            <w:tcW w:w="2120" w:type="dxa"/>
          </w:tcPr>
          <w:p w14:paraId="360AFF1D">
            <w:pPr>
              <w:jc w:val="left"/>
              <w:rPr>
                <w:rFonts w:ascii="宋体" w:cs="宋体"/>
                <w:szCs w:val="21"/>
              </w:rPr>
            </w:pPr>
          </w:p>
        </w:tc>
      </w:tr>
    </w:tbl>
    <w:p w14:paraId="4D60D93C">
      <w:pPr>
        <w:tabs>
          <w:tab w:val="left" w:pos="420"/>
          <w:tab w:val="left" w:pos="510"/>
        </w:tabs>
        <w:spacing w:line="480" w:lineRule="exact"/>
        <w:ind w:firstLine="420" w:firstLineChars="200"/>
        <w:jc w:val="left"/>
        <w:rPr>
          <w:rFonts w:ascii="宋体" w:hAnsi="宋体" w:cs="宋体"/>
          <w:szCs w:val="21"/>
        </w:rPr>
      </w:pPr>
      <w:r>
        <w:rPr>
          <w:rFonts w:ascii="宋体" w:hAnsi="宋体" w:cs="宋体"/>
          <w:szCs w:val="21"/>
        </w:rPr>
        <w:t xml:space="preserve">1.2 </w:t>
      </w:r>
      <w:r>
        <w:rPr>
          <w:rFonts w:hint="eastAsia" w:ascii="宋体" w:hAnsi="宋体" w:cs="宋体"/>
          <w:szCs w:val="21"/>
        </w:rPr>
        <w:t>协助被保险人建立医疗执业风险管理及防范制度</w:t>
      </w:r>
    </w:p>
    <w:p w14:paraId="6257C293">
      <w:pPr>
        <w:spacing w:line="480" w:lineRule="exact"/>
        <w:ind w:firstLine="420" w:firstLineChars="200"/>
        <w:jc w:val="left"/>
        <w:rPr>
          <w:rFonts w:ascii="宋体" w:hAnsi="宋体" w:cs="宋体"/>
          <w:szCs w:val="21"/>
        </w:rPr>
      </w:pPr>
      <w:r>
        <w:rPr>
          <w:rFonts w:ascii="宋体" w:hAnsi="宋体" w:cs="宋体"/>
          <w:szCs w:val="21"/>
        </w:rPr>
        <w:t>1</w:t>
      </w:r>
      <w:r>
        <w:rPr>
          <w:rFonts w:hint="eastAsia" w:ascii="宋体" w:hAnsi="宋体" w:cs="宋体"/>
          <w:szCs w:val="21"/>
        </w:rPr>
        <w:t>）医疗执业风险管理及防范制度</w:t>
      </w:r>
    </w:p>
    <w:p w14:paraId="20F92214">
      <w:pPr>
        <w:spacing w:line="480" w:lineRule="exact"/>
        <w:ind w:firstLine="420" w:firstLineChars="200"/>
        <w:jc w:val="left"/>
        <w:rPr>
          <w:rFonts w:ascii="宋体" w:hAnsi="宋体" w:cs="宋体"/>
          <w:szCs w:val="21"/>
        </w:rPr>
      </w:pPr>
      <w:r>
        <w:rPr>
          <w:rFonts w:hint="eastAsia" w:ascii="宋体" w:hAnsi="宋体" w:cs="宋体"/>
          <w:szCs w:val="21"/>
        </w:rPr>
        <w:t>承保人应配合广东省医疗责任保险机制，对被保险人进行必要的风险防范服务，不定期和被保险人与保险经纪人举办研讨活动，共同探讨、总结保险及风险管理方面的经验，在保险期内，配合保险经纪人针对被保险人的风险情况，提出有针对性的防灾防损建议。承保保险公司需建立医疗责任保险防灾防损基金，定向用于被保险人的防灾防损工作的组织和实施。防灾防损基金由承保人提取，在财政部规定使用范围内由保险经纪股份有限公司统一组织用于为被保险人进行防灾防损的工作。若被保险人当年未使用或仅使用了部分防灾防损基金，则未使用部分的基金可累积使用。</w:t>
      </w:r>
    </w:p>
    <w:p w14:paraId="2E8DEF12">
      <w:pPr>
        <w:spacing w:line="480" w:lineRule="exact"/>
        <w:ind w:firstLine="420" w:firstLineChars="200"/>
        <w:jc w:val="left"/>
        <w:rPr>
          <w:rFonts w:ascii="宋体" w:cs="宋体"/>
          <w:szCs w:val="21"/>
        </w:rPr>
      </w:pPr>
      <w:r>
        <w:rPr>
          <w:rFonts w:ascii="宋体" w:hAnsi="宋体" w:cs="宋体"/>
          <w:szCs w:val="21"/>
        </w:rPr>
        <w:t>2</w:t>
      </w:r>
      <w:r>
        <w:rPr>
          <w:rFonts w:hint="eastAsia" w:ascii="宋体" w:hAnsi="宋体" w:cs="宋体"/>
          <w:szCs w:val="21"/>
        </w:rPr>
        <w:t>）培训制度</w:t>
      </w:r>
    </w:p>
    <w:p w14:paraId="057B8F35">
      <w:pPr>
        <w:spacing w:line="480" w:lineRule="exact"/>
        <w:ind w:firstLine="420" w:firstLineChars="200"/>
        <w:jc w:val="left"/>
        <w:rPr>
          <w:rFonts w:hint="eastAsia" w:ascii="宋体" w:hAnsi="宋体" w:cs="宋体"/>
          <w:szCs w:val="21"/>
        </w:rPr>
      </w:pPr>
      <w:r>
        <w:rPr>
          <w:rFonts w:hint="eastAsia" w:ascii="宋体" w:hAnsi="宋体" w:cs="宋体"/>
          <w:szCs w:val="21"/>
        </w:rPr>
        <w:t>在保险有效期内，根据甲方的要求，保险经纪人负责举办保险知识和风险管理培训，具体举办时间和地点由甲</w:t>
      </w:r>
      <w:r>
        <w:rPr>
          <w:rFonts w:hint="eastAsia" w:ascii="宋体" w:hAnsi="宋体" w:cs="宋体"/>
          <w:szCs w:val="21"/>
          <w:lang w:val="en-US" w:eastAsia="zh-CN"/>
        </w:rPr>
        <w:t>方</w:t>
      </w:r>
      <w:r>
        <w:rPr>
          <w:rFonts w:hint="eastAsia" w:ascii="宋体" w:hAnsi="宋体" w:cs="宋体"/>
          <w:szCs w:val="21"/>
        </w:rPr>
        <w:t>、保险经纪人双方共同协商确定。</w:t>
      </w:r>
    </w:p>
    <w:p w14:paraId="380E35BE">
      <w:pPr>
        <w:spacing w:line="480" w:lineRule="exact"/>
        <w:ind w:firstLine="420" w:firstLineChars="200"/>
        <w:jc w:val="left"/>
        <w:rPr>
          <w:rFonts w:ascii="宋体" w:cs="宋体"/>
          <w:szCs w:val="21"/>
        </w:rPr>
      </w:pPr>
      <w:r>
        <w:rPr>
          <w:rFonts w:ascii="宋体" w:hAnsi="宋体" w:cs="宋体"/>
          <w:szCs w:val="21"/>
        </w:rPr>
        <w:t xml:space="preserve">1.3 </w:t>
      </w:r>
      <w:r>
        <w:rPr>
          <w:rFonts w:hint="eastAsia" w:ascii="宋体" w:hAnsi="宋体" w:cs="宋体"/>
          <w:szCs w:val="21"/>
        </w:rPr>
        <w:t>承保与出单</w:t>
      </w:r>
    </w:p>
    <w:p w14:paraId="20C30D02">
      <w:pPr>
        <w:spacing w:line="480" w:lineRule="exact"/>
        <w:ind w:firstLine="420" w:firstLineChars="200"/>
        <w:jc w:val="left"/>
        <w:rPr>
          <w:rFonts w:ascii="宋体" w:cs="宋体"/>
          <w:szCs w:val="21"/>
        </w:rPr>
      </w:pPr>
      <w:r>
        <w:rPr>
          <w:rFonts w:hint="eastAsia" w:ascii="宋体" w:hAnsi="宋体" w:cs="宋体"/>
          <w:szCs w:val="21"/>
        </w:rPr>
        <w:t>保险公司应配备客户服务专员及相应设备，协助保险经纪公司为投保人办理承保出单手续。</w:t>
      </w:r>
    </w:p>
    <w:p w14:paraId="09D8286E">
      <w:pPr>
        <w:tabs>
          <w:tab w:val="left" w:pos="425"/>
          <w:tab w:val="left" w:pos="992"/>
        </w:tabs>
        <w:spacing w:line="480" w:lineRule="exact"/>
        <w:ind w:firstLine="422" w:firstLineChars="200"/>
        <w:jc w:val="left"/>
        <w:rPr>
          <w:rFonts w:ascii="宋体" w:cs="宋体"/>
          <w:b/>
          <w:bCs/>
          <w:szCs w:val="21"/>
        </w:rPr>
      </w:pPr>
      <w:r>
        <w:rPr>
          <w:rFonts w:ascii="宋体" w:hAnsi="宋体" w:cs="宋体"/>
          <w:b/>
          <w:bCs/>
          <w:szCs w:val="21"/>
        </w:rPr>
        <w:t xml:space="preserve">2. </w:t>
      </w:r>
      <w:r>
        <w:rPr>
          <w:rFonts w:hint="eastAsia" w:ascii="宋体" w:hAnsi="宋体" w:cs="宋体"/>
          <w:b/>
          <w:bCs/>
          <w:szCs w:val="21"/>
        </w:rPr>
        <w:t>理赔时效</w:t>
      </w:r>
    </w:p>
    <w:p w14:paraId="126288D4">
      <w:pPr>
        <w:spacing w:line="480" w:lineRule="exact"/>
        <w:ind w:firstLine="420" w:firstLineChars="200"/>
        <w:jc w:val="left"/>
        <w:rPr>
          <w:rFonts w:ascii="宋体" w:cs="宋体"/>
          <w:szCs w:val="21"/>
        </w:rPr>
      </w:pPr>
      <w:r>
        <w:rPr>
          <w:rFonts w:hint="eastAsia" w:ascii="宋体" w:hAnsi="宋体" w:cs="宋体"/>
          <w:szCs w:val="21"/>
        </w:rPr>
        <w:t>2.1快速理赔</w:t>
      </w:r>
    </w:p>
    <w:p w14:paraId="16BFE71B">
      <w:pPr>
        <w:spacing w:line="480" w:lineRule="exact"/>
        <w:ind w:firstLine="420" w:firstLineChars="200"/>
        <w:jc w:val="left"/>
        <w:rPr>
          <w:rFonts w:ascii="宋体" w:hAnsi="宋体" w:cs="宋体"/>
          <w:szCs w:val="21"/>
        </w:rPr>
      </w:pPr>
      <w:r>
        <w:rPr>
          <w:rFonts w:hint="eastAsia" w:ascii="宋体" w:hAnsi="宋体" w:cs="宋体"/>
          <w:szCs w:val="21"/>
        </w:rPr>
        <w:t>保险人特设案件分派系统，并匹配理赔专家，以最高效简洁的流程服务于被保险人。具体表现如下：</w:t>
      </w:r>
    </w:p>
    <w:p w14:paraId="041C2E86">
      <w:pPr>
        <w:spacing w:line="480" w:lineRule="exact"/>
        <w:ind w:firstLine="420" w:firstLineChars="200"/>
        <w:jc w:val="left"/>
        <w:rPr>
          <w:rFonts w:ascii="宋体" w:hAnsi="宋体" w:cs="宋体"/>
          <w:szCs w:val="21"/>
        </w:rPr>
      </w:pPr>
      <w:r>
        <w:rPr>
          <w:rFonts w:hint="eastAsia" w:ascii="宋体" w:hAnsi="宋体" w:cs="宋体"/>
          <w:szCs w:val="21"/>
        </w:rPr>
        <w:t>发生保险责任范围内事故后，对事实清楚，法律责任明确，属于保险责任事故的医患纠纷案件，自保险人完成核赔，且与被保险人达成一致起，按下列理赔时效承诺：</w:t>
      </w:r>
    </w:p>
    <w:p w14:paraId="2040A330">
      <w:pPr>
        <w:spacing w:line="480" w:lineRule="exact"/>
        <w:ind w:firstLine="420" w:firstLineChars="200"/>
        <w:jc w:val="left"/>
        <w:rPr>
          <w:rFonts w:ascii="宋体" w:hAnsi="宋体" w:cs="宋体"/>
          <w:szCs w:val="21"/>
        </w:rPr>
      </w:pPr>
      <w:r>
        <w:rPr>
          <w:rFonts w:hint="eastAsia" w:ascii="宋体" w:hAnsi="宋体" w:cs="宋体"/>
          <w:szCs w:val="21"/>
        </w:rPr>
        <w:t xml:space="preserve"> 1万元以下的赔案，3个工作日内作出赔付；</w:t>
      </w:r>
    </w:p>
    <w:p w14:paraId="55807A2B">
      <w:pPr>
        <w:spacing w:line="480" w:lineRule="exact"/>
        <w:ind w:firstLine="420" w:firstLineChars="200"/>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1万</w:t>
      </w:r>
      <w:r>
        <w:rPr>
          <w:rFonts w:hint="eastAsia" w:ascii="宋体" w:hAnsi="宋体" w:cs="宋体"/>
          <w:szCs w:val="21"/>
        </w:rPr>
        <w:t>元</w:t>
      </w:r>
      <w:r>
        <w:rPr>
          <w:rFonts w:hint="eastAsia" w:ascii="宋体" w:hAnsi="宋体" w:cs="宋体"/>
          <w:szCs w:val="21"/>
          <w:lang w:val="en-US" w:eastAsia="zh-CN"/>
        </w:rPr>
        <w:t>-</w:t>
      </w:r>
      <w:r>
        <w:rPr>
          <w:rFonts w:hint="eastAsia" w:ascii="宋体" w:hAnsi="宋体" w:cs="宋体"/>
          <w:szCs w:val="21"/>
        </w:rPr>
        <w:t>5万元</w:t>
      </w:r>
      <w:r>
        <w:rPr>
          <w:rFonts w:hint="eastAsia" w:ascii="宋体" w:hAnsi="宋体" w:cs="宋体" w:eastAsiaTheme="minorEastAsia"/>
          <w:b w:val="0"/>
          <w:bCs w:val="0"/>
          <w:kern w:val="2"/>
          <w:sz w:val="21"/>
          <w:szCs w:val="21"/>
        </w:rPr>
        <w:t>（不含</w:t>
      </w:r>
      <w:r>
        <w:rPr>
          <w:rFonts w:hint="eastAsia" w:ascii="宋体" w:hAnsi="宋体" w:cs="宋体" w:eastAsiaTheme="minorEastAsia"/>
          <w:b w:val="0"/>
          <w:bCs w:val="0"/>
          <w:kern w:val="2"/>
          <w:sz w:val="21"/>
          <w:szCs w:val="21"/>
          <w:lang w:val="en-US" w:eastAsia="zh-CN"/>
        </w:rPr>
        <w:t>1</w:t>
      </w:r>
      <w:r>
        <w:rPr>
          <w:rFonts w:hint="eastAsia" w:ascii="宋体" w:hAnsi="宋体" w:cs="宋体" w:eastAsiaTheme="minorEastAsia"/>
          <w:b w:val="0"/>
          <w:bCs w:val="0"/>
          <w:kern w:val="2"/>
          <w:sz w:val="21"/>
          <w:szCs w:val="21"/>
        </w:rPr>
        <w:t>万元，含</w:t>
      </w:r>
      <w:r>
        <w:rPr>
          <w:rFonts w:hint="eastAsia" w:ascii="宋体" w:hAnsi="宋体" w:cs="宋体" w:eastAsiaTheme="minorEastAsia"/>
          <w:b w:val="0"/>
          <w:bCs w:val="0"/>
          <w:kern w:val="2"/>
          <w:sz w:val="21"/>
          <w:szCs w:val="21"/>
          <w:lang w:val="en-US" w:eastAsia="zh-CN"/>
        </w:rPr>
        <w:t>5</w:t>
      </w:r>
      <w:r>
        <w:rPr>
          <w:rFonts w:hint="eastAsia" w:ascii="宋体" w:hAnsi="宋体" w:cs="宋体" w:eastAsiaTheme="minorEastAsia"/>
          <w:b w:val="0"/>
          <w:bCs w:val="0"/>
          <w:kern w:val="2"/>
          <w:sz w:val="21"/>
          <w:szCs w:val="21"/>
        </w:rPr>
        <w:t>万元）</w:t>
      </w:r>
      <w:r>
        <w:rPr>
          <w:rFonts w:hint="eastAsia" w:ascii="宋体" w:hAnsi="宋体" w:cs="宋体"/>
          <w:szCs w:val="21"/>
        </w:rPr>
        <w:t>的赔案，5个工作日内作出赔付；</w:t>
      </w:r>
    </w:p>
    <w:p w14:paraId="7A93C18D">
      <w:pPr>
        <w:spacing w:line="480" w:lineRule="exact"/>
        <w:ind w:firstLine="420" w:firstLineChars="200"/>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5万</w:t>
      </w:r>
      <w:r>
        <w:rPr>
          <w:rFonts w:hint="eastAsia" w:ascii="宋体" w:hAnsi="宋体" w:cs="宋体"/>
          <w:szCs w:val="21"/>
        </w:rPr>
        <w:t>元</w:t>
      </w:r>
      <w:r>
        <w:rPr>
          <w:rFonts w:hint="eastAsia" w:ascii="宋体" w:hAnsi="宋体" w:cs="宋体"/>
          <w:szCs w:val="21"/>
          <w:lang w:val="en-US" w:eastAsia="zh-CN"/>
        </w:rPr>
        <w:t>-</w:t>
      </w:r>
      <w:r>
        <w:rPr>
          <w:rFonts w:hint="eastAsia" w:ascii="宋体" w:hAnsi="宋体" w:cs="宋体"/>
          <w:szCs w:val="21"/>
        </w:rPr>
        <w:t>20万元</w:t>
      </w:r>
      <w:r>
        <w:rPr>
          <w:rFonts w:hint="eastAsia" w:ascii="宋体" w:hAnsi="宋体" w:cs="宋体" w:eastAsiaTheme="minorEastAsia"/>
          <w:b w:val="0"/>
          <w:bCs w:val="0"/>
          <w:kern w:val="2"/>
          <w:sz w:val="21"/>
          <w:szCs w:val="21"/>
        </w:rPr>
        <w:t>（不含5万元，含20万元）</w:t>
      </w:r>
      <w:r>
        <w:rPr>
          <w:rFonts w:hint="eastAsia" w:ascii="宋体" w:hAnsi="宋体" w:cs="宋体"/>
          <w:szCs w:val="21"/>
        </w:rPr>
        <w:t>的赔案，7个工作日内作出赔付；</w:t>
      </w:r>
    </w:p>
    <w:p w14:paraId="2221C7AF">
      <w:pPr>
        <w:spacing w:line="480" w:lineRule="exact"/>
        <w:ind w:firstLine="420" w:firstLineChars="200"/>
        <w:jc w:val="left"/>
        <w:rPr>
          <w:rFonts w:hint="eastAsia" w:ascii="宋体" w:hAnsi="宋体" w:cs="宋体"/>
          <w:szCs w:val="21"/>
        </w:rPr>
      </w:pPr>
      <w:r>
        <w:rPr>
          <w:rFonts w:hint="eastAsia" w:ascii="宋体" w:hAnsi="宋体" w:cs="宋体"/>
          <w:szCs w:val="21"/>
        </w:rPr>
        <w:t xml:space="preserve"> 20万元</w:t>
      </w:r>
      <w:r>
        <w:rPr>
          <w:rFonts w:hint="eastAsia" w:ascii="宋体" w:hAnsi="宋体" w:cs="宋体"/>
          <w:szCs w:val="21"/>
          <w:lang w:val="en-US" w:eastAsia="zh-CN"/>
        </w:rPr>
        <w:t>-30万元</w:t>
      </w:r>
      <w:r>
        <w:rPr>
          <w:rFonts w:hint="eastAsia" w:ascii="宋体" w:hAnsi="宋体" w:cs="宋体" w:eastAsiaTheme="minorEastAsia"/>
          <w:b w:val="0"/>
          <w:bCs w:val="0"/>
          <w:kern w:val="2"/>
          <w:sz w:val="21"/>
          <w:szCs w:val="21"/>
        </w:rPr>
        <w:t>（不含</w:t>
      </w:r>
      <w:r>
        <w:rPr>
          <w:rFonts w:hint="eastAsia" w:ascii="宋体" w:hAnsi="宋体" w:cs="宋体" w:eastAsiaTheme="minorEastAsia"/>
          <w:b w:val="0"/>
          <w:bCs w:val="0"/>
          <w:kern w:val="2"/>
          <w:sz w:val="21"/>
          <w:szCs w:val="21"/>
          <w:lang w:val="en-US" w:eastAsia="zh-CN"/>
        </w:rPr>
        <w:t>20</w:t>
      </w:r>
      <w:r>
        <w:rPr>
          <w:rFonts w:hint="eastAsia" w:ascii="宋体" w:hAnsi="宋体" w:cs="宋体" w:eastAsiaTheme="minorEastAsia"/>
          <w:b w:val="0"/>
          <w:bCs w:val="0"/>
          <w:kern w:val="2"/>
          <w:sz w:val="21"/>
          <w:szCs w:val="21"/>
        </w:rPr>
        <w:t>万元，含</w:t>
      </w:r>
      <w:r>
        <w:rPr>
          <w:rFonts w:hint="eastAsia" w:ascii="宋体" w:hAnsi="宋体" w:cs="宋体" w:eastAsiaTheme="minorEastAsia"/>
          <w:b w:val="0"/>
          <w:bCs w:val="0"/>
          <w:kern w:val="2"/>
          <w:sz w:val="21"/>
          <w:szCs w:val="21"/>
          <w:lang w:val="en-US" w:eastAsia="zh-CN"/>
        </w:rPr>
        <w:t>3</w:t>
      </w:r>
      <w:r>
        <w:rPr>
          <w:rFonts w:hint="eastAsia" w:ascii="宋体" w:hAnsi="宋体" w:cs="宋体" w:eastAsiaTheme="minorEastAsia"/>
          <w:b w:val="0"/>
          <w:bCs w:val="0"/>
          <w:kern w:val="2"/>
          <w:sz w:val="21"/>
          <w:szCs w:val="21"/>
        </w:rPr>
        <w:t>0万元）</w:t>
      </w:r>
      <w:r>
        <w:rPr>
          <w:rFonts w:hint="eastAsia" w:ascii="宋体" w:hAnsi="宋体" w:cs="宋体"/>
          <w:szCs w:val="21"/>
        </w:rPr>
        <w:t>的赔案，10个工作日内作出赔付</w:t>
      </w:r>
      <w:r>
        <w:rPr>
          <w:rFonts w:hint="eastAsia" w:ascii="宋体" w:hAnsi="宋体" w:cs="宋体"/>
          <w:szCs w:val="21"/>
          <w:lang w:eastAsia="zh-CN"/>
        </w:rPr>
        <w:t>；</w:t>
      </w:r>
      <w:bookmarkStart w:id="76" w:name="_Toc148320322"/>
      <w:bookmarkStart w:id="77" w:name="_Toc145839324"/>
      <w:bookmarkStart w:id="78" w:name="_Toc145306136"/>
    </w:p>
    <w:p w14:paraId="4D554130">
      <w:pPr>
        <w:spacing w:line="480" w:lineRule="exact"/>
        <w:ind w:firstLine="630" w:firstLineChars="300"/>
        <w:jc w:val="left"/>
        <w:rPr>
          <w:rFonts w:hint="eastAsia" w:ascii="宋体" w:hAnsi="宋体" w:cs="宋体" w:eastAsiaTheme="minorEastAsia"/>
          <w:szCs w:val="21"/>
          <w:lang w:val="en-US" w:eastAsia="zh-CN"/>
        </w:rPr>
      </w:pPr>
      <w:r>
        <w:rPr>
          <w:rFonts w:hint="eastAsia" w:ascii="宋体" w:hAnsi="宋体" w:cs="宋体"/>
          <w:szCs w:val="21"/>
          <w:lang w:val="en-US" w:eastAsia="zh-CN"/>
        </w:rPr>
        <w:t>30万元以上的赔案，15个工作日内作出赔付。</w:t>
      </w:r>
    </w:p>
    <w:p w14:paraId="555AC657">
      <w:pPr>
        <w:spacing w:line="480" w:lineRule="exact"/>
        <w:ind w:firstLine="420" w:firstLineChars="200"/>
        <w:jc w:val="left"/>
        <w:rPr>
          <w:rFonts w:ascii="宋体" w:hAnsi="宋体" w:cs="宋体"/>
          <w:szCs w:val="21"/>
        </w:rPr>
      </w:pPr>
      <w:r>
        <w:rPr>
          <w:rFonts w:hint="eastAsia" w:ascii="宋体" w:hAnsi="宋体" w:cs="宋体"/>
          <w:szCs w:val="21"/>
        </w:rPr>
        <w:t>2.2核损核赔时</w:t>
      </w:r>
      <w:bookmarkEnd w:id="76"/>
      <w:bookmarkEnd w:id="77"/>
      <w:bookmarkEnd w:id="78"/>
      <w:r>
        <w:rPr>
          <w:rFonts w:hint="eastAsia" w:ascii="宋体" w:hAnsi="宋体" w:cs="宋体"/>
          <w:szCs w:val="21"/>
        </w:rPr>
        <w:t>效制</w:t>
      </w:r>
    </w:p>
    <w:p w14:paraId="091EB2A9">
      <w:pPr>
        <w:spacing w:line="480" w:lineRule="exact"/>
        <w:ind w:firstLine="420" w:firstLineChars="200"/>
        <w:jc w:val="left"/>
        <w:rPr>
          <w:rFonts w:ascii="宋体" w:hAnsi="宋体" w:cs="宋体"/>
          <w:szCs w:val="21"/>
        </w:rPr>
      </w:pPr>
      <w:r>
        <w:rPr>
          <w:rFonts w:hint="eastAsia" w:ascii="宋体" w:hAnsi="宋体" w:cs="宋体"/>
          <w:szCs w:val="21"/>
        </w:rPr>
        <w:t>保险人在进行现场查勘后，就初步核损金额，在收到被保险人提交的完整索赔资料，经医调委听证或合议程序处理的，收到合议决定、调解协议书副本和相关材料后，在下述规定时间内作出理赔决定，以便快速理赔。</w:t>
      </w:r>
    </w:p>
    <w:p w14:paraId="5D3411D7">
      <w:pPr>
        <w:spacing w:line="480" w:lineRule="exact"/>
        <w:ind w:firstLine="420" w:firstLineChars="200"/>
        <w:jc w:val="left"/>
        <w:rPr>
          <w:rFonts w:ascii="宋体" w:hAnsi="宋体" w:cs="宋体"/>
          <w:szCs w:val="21"/>
        </w:rPr>
      </w:pPr>
      <w:r>
        <w:rPr>
          <w:rFonts w:hint="eastAsia" w:ascii="宋体" w:hAnsi="宋体" w:cs="宋体"/>
          <w:szCs w:val="21"/>
        </w:rPr>
        <w:t>1、索赔金额在人民币5万元（或等值外币，含5万元）以下的，应在5个工作日内向被保险人提出异议，若在上述时间内未提出异议的，即视为双方就赔偿结果达成一致。</w:t>
      </w:r>
    </w:p>
    <w:p w14:paraId="06FFD9CA">
      <w:pPr>
        <w:spacing w:line="480" w:lineRule="exact"/>
        <w:ind w:firstLine="420" w:firstLineChars="200"/>
        <w:jc w:val="left"/>
        <w:rPr>
          <w:rFonts w:ascii="宋体" w:hAnsi="宋体" w:cs="宋体"/>
          <w:szCs w:val="21"/>
        </w:rPr>
      </w:pPr>
      <w:r>
        <w:rPr>
          <w:rFonts w:hint="eastAsia" w:ascii="宋体" w:hAnsi="宋体" w:cs="宋体"/>
          <w:szCs w:val="21"/>
        </w:rPr>
        <w:t>2、索赔金额在人民币5—30万元（或等值外币，不含5万元，含30万元）的，应在7工作日内向被保险人提出异议，若在上述时间内未提出异议的，即视为双方就赔偿结果达成一致。</w:t>
      </w:r>
    </w:p>
    <w:p w14:paraId="3984B51C">
      <w:pPr>
        <w:spacing w:line="480" w:lineRule="exact"/>
        <w:ind w:firstLine="420" w:firstLineChars="200"/>
        <w:jc w:val="left"/>
        <w:rPr>
          <w:rFonts w:ascii="宋体" w:hAnsi="宋体" w:cs="宋体"/>
          <w:szCs w:val="21"/>
        </w:rPr>
      </w:pPr>
      <w:r>
        <w:rPr>
          <w:rFonts w:hint="eastAsia" w:ascii="宋体" w:hAnsi="宋体" w:cs="宋体"/>
          <w:szCs w:val="21"/>
        </w:rPr>
        <w:t>3、30万元以上的赔案（或等值外币）以上的，应在10工作日内向被保险人提出异议，若在上述时间内未提出异议的，即视为双方就赔偿结果达成一致</w:t>
      </w:r>
      <w:bookmarkStart w:id="79" w:name="_Toc145839333"/>
      <w:bookmarkStart w:id="80" w:name="_Toc145306145"/>
      <w:bookmarkStart w:id="81" w:name="_Toc148320331"/>
      <w:r>
        <w:rPr>
          <w:rFonts w:hint="eastAsia" w:ascii="宋体" w:hAnsi="宋体" w:cs="宋体"/>
          <w:szCs w:val="21"/>
        </w:rPr>
        <w:t>。</w:t>
      </w:r>
    </w:p>
    <w:bookmarkEnd w:id="79"/>
    <w:bookmarkEnd w:id="80"/>
    <w:bookmarkEnd w:id="81"/>
    <w:p w14:paraId="61DFC9D8">
      <w:pPr>
        <w:spacing w:line="480" w:lineRule="exact"/>
        <w:ind w:firstLine="420" w:firstLineChars="200"/>
        <w:jc w:val="left"/>
        <w:rPr>
          <w:rFonts w:ascii="宋体" w:hAnsi="宋体" w:cs="宋体"/>
          <w:szCs w:val="21"/>
        </w:rPr>
      </w:pPr>
      <w:r>
        <w:rPr>
          <w:rFonts w:ascii="宋体" w:hAnsi="宋体" w:cs="宋体"/>
          <w:szCs w:val="21"/>
        </w:rPr>
        <w:t xml:space="preserve">2.3 </w:t>
      </w:r>
      <w:r>
        <w:rPr>
          <w:rFonts w:hint="eastAsia" w:ascii="宋体" w:hAnsi="宋体" w:cs="宋体"/>
          <w:szCs w:val="21"/>
        </w:rPr>
        <w:t>保险公估人服务</w:t>
      </w:r>
    </w:p>
    <w:p w14:paraId="41D1A27D">
      <w:pPr>
        <w:spacing w:line="480" w:lineRule="exact"/>
        <w:ind w:firstLine="420" w:firstLineChars="200"/>
        <w:jc w:val="left"/>
        <w:rPr>
          <w:rFonts w:ascii="宋体" w:cs="宋体"/>
          <w:szCs w:val="21"/>
        </w:rPr>
      </w:pPr>
      <w:r>
        <w:rPr>
          <w:rFonts w:hint="eastAsia" w:ascii="宋体" w:hAnsi="宋体" w:cs="宋体"/>
          <w:szCs w:val="21"/>
        </w:rPr>
        <w:t>承保人承诺：本项目出险后：</w:t>
      </w:r>
      <w:r>
        <w:rPr>
          <w:rFonts w:ascii="宋体" w:hAnsi="宋体" w:cs="宋体"/>
          <w:szCs w:val="21"/>
        </w:rPr>
        <w:t>1</w:t>
      </w:r>
      <w:r>
        <w:rPr>
          <w:rFonts w:hint="eastAsia" w:ascii="宋体" w:hAnsi="宋体" w:cs="宋体"/>
          <w:szCs w:val="21"/>
        </w:rPr>
        <w:t>、承保人如聘请公估人负责理赔，必须得到被保险人及保险经纪公司的认可；</w:t>
      </w:r>
      <w:r>
        <w:rPr>
          <w:rFonts w:ascii="宋体" w:hAnsi="宋体" w:cs="宋体"/>
          <w:szCs w:val="21"/>
        </w:rPr>
        <w:t>2</w:t>
      </w:r>
      <w:r>
        <w:rPr>
          <w:rFonts w:hint="eastAsia" w:ascii="宋体" w:hAnsi="宋体" w:cs="宋体"/>
          <w:szCs w:val="21"/>
        </w:rPr>
        <w:t>、若出险后保险合同双方对于事故的保险责任和赔偿金额的认定不能达成一致时，应被保险人要求，应通过协商确定保险公估人，委请公估人的所有费用由承保人负担，在此情况下，赔案由公估人与承保人共同处理。承保人的主要任务是协助公估人工作，由公估人出具最终理算报告。</w:t>
      </w:r>
    </w:p>
    <w:p w14:paraId="36D18F85">
      <w:pPr>
        <w:spacing w:line="480" w:lineRule="exact"/>
        <w:ind w:firstLine="420" w:firstLineChars="200"/>
        <w:jc w:val="left"/>
        <w:rPr>
          <w:rFonts w:ascii="宋体" w:hAnsi="宋体" w:cs="宋体"/>
          <w:szCs w:val="21"/>
        </w:rPr>
      </w:pPr>
      <w:r>
        <w:rPr>
          <w:rFonts w:ascii="宋体" w:hAnsi="宋体" w:cs="宋体"/>
          <w:szCs w:val="21"/>
        </w:rPr>
        <w:t xml:space="preserve">2.4 </w:t>
      </w:r>
      <w:r>
        <w:rPr>
          <w:rFonts w:hint="eastAsia" w:ascii="宋体" w:hAnsi="宋体" w:cs="宋体"/>
          <w:szCs w:val="21"/>
        </w:rPr>
        <w:t>定期提供理赔统计报表</w:t>
      </w:r>
    </w:p>
    <w:p w14:paraId="1C59D1A8">
      <w:pPr>
        <w:spacing w:line="480" w:lineRule="exact"/>
        <w:ind w:firstLine="420" w:firstLineChars="200"/>
        <w:jc w:val="left"/>
        <w:rPr>
          <w:rFonts w:ascii="宋体" w:cs="宋体"/>
          <w:szCs w:val="21"/>
        </w:rPr>
      </w:pPr>
      <w:r>
        <w:rPr>
          <w:rFonts w:hint="eastAsia" w:ascii="宋体" w:cs="宋体"/>
          <w:szCs w:val="21"/>
        </w:rPr>
        <w:t>乙方应于每季度最后一个月的15日前向甲方及保险经纪人提供上一季度理赔统计报表。报表应包括损失发生的时间、地点、损失原因、已决案件赔付金额与未决案件进展情况。</w:t>
      </w:r>
    </w:p>
    <w:p w14:paraId="57461F4D">
      <w:pPr>
        <w:spacing w:before="120" w:after="120" w:line="240" w:lineRule="auto"/>
        <w:ind w:firstLine="0" w:firstLineChars="0"/>
        <w:jc w:val="left"/>
        <w:rPr>
          <w:rFonts w:ascii="宋体" w:hAnsi="宋体" w:eastAsia="宋体" w:cs="宋体"/>
          <w:sz w:val="28"/>
          <w:szCs w:val="28"/>
        </w:rPr>
      </w:pPr>
    </w:p>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14:paraId="45D40CFD">
      <w:pPr>
        <w:spacing w:line="240" w:lineRule="auto"/>
        <w:ind w:firstLine="0" w:firstLineChars="0"/>
        <w:rPr>
          <w:rFonts w:ascii="宋体" w:hAnsi="宋体" w:eastAsia="宋体" w:cs="宋体"/>
          <w:sz w:val="28"/>
          <w:szCs w:val="28"/>
        </w:rPr>
      </w:pPr>
    </w:p>
    <w:sectPr>
      <w:footerReference r:id="rId3" w:type="default"/>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Adobe 仿宋 Std R">
    <w:altName w:val="仿宋"/>
    <w:panose1 w:val="00000000000000000000"/>
    <w:charset w:val="86"/>
    <w:family w:val="modern"/>
    <w:pitch w:val="default"/>
    <w:sig w:usb0="00000000" w:usb1="00000000" w:usb2="00000016" w:usb3="00000000" w:csb0="00060007" w:csb1="00000000"/>
  </w:font>
  <w:font w:name="汉仪仿宋KW">
    <w:altName w:val="仿宋"/>
    <w:panose1 w:val="00020600040101010101"/>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188AD">
    <w:pPr>
      <w:pStyle w:val="16"/>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80ls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n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HvzSWywCAABZBAAADgAAAAAAAAABACAAAAAfAQAAZHJzL2Uyb0RvYy54bWxQSwUGAAAAAAYA&#10;BgBZAQAAvQUAAAAA&#10;">
          <v:path/>
          <v:fill on="f" focussize="0,0"/>
          <v:stroke on="f" weight="0.5pt" joinstyle="miter"/>
          <v:imagedata o:title=""/>
          <o:lock v:ext="edit"/>
          <v:textbox inset="0mm,0mm,0mm,0mm" style="mso-fit-shape-to-text:t;">
            <w:txbxContent>
              <w:p w14:paraId="053A88E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44</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A70199"/>
    <w:multiLevelType w:val="multilevel"/>
    <w:tmpl w:val="B3A70199"/>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3734B8C2"/>
    <w:multiLevelType w:val="singleLevel"/>
    <w:tmpl w:val="3734B8C2"/>
    <w:lvl w:ilvl="0" w:tentative="0">
      <w:start w:val="1"/>
      <w:numFmt w:val="chineseCounting"/>
      <w:suff w:val="nothing"/>
      <w:lvlText w:val="（%1）"/>
      <w:lvlJc w:val="left"/>
      <w:rPr>
        <w:rFonts w:hint="eastAsia"/>
      </w:rPr>
    </w:lvl>
  </w:abstractNum>
  <w:abstractNum w:abstractNumId="2">
    <w:nsid w:val="73887025"/>
    <w:multiLevelType w:val="multilevel"/>
    <w:tmpl w:val="73887025"/>
    <w:lvl w:ilvl="0" w:tentative="0">
      <w:start w:val="1"/>
      <w:numFmt w:val="decimal"/>
      <w:pStyle w:val="57"/>
      <w:suff w:val="nothing"/>
      <w:lvlText w:val="%1."/>
      <w:lvlJc w:val="left"/>
      <w:pPr>
        <w:ind w:left="284" w:firstLine="0"/>
      </w:pPr>
      <w:rPr>
        <w:rFonts w:hint="eastAsia" w:ascii="宋体" w:hAnsi="宋体" w:eastAsia="宋体"/>
        <w:b w:val="0"/>
        <w:i w:val="0"/>
        <w:caps w:val="0"/>
        <w:strike w:val="0"/>
        <w:dstrike w:val="0"/>
        <w:vanish w:val="0"/>
        <w:spacing w:val="0"/>
        <w:position w:val="0"/>
        <w:sz w:val="24"/>
        <w:szCs w:val="24"/>
        <w:vertAlign w:val="baseline"/>
      </w:rPr>
    </w:lvl>
    <w:lvl w:ilvl="1" w:tentative="0">
      <w:start w:val="1"/>
      <w:numFmt w:val="decimal"/>
      <w:suff w:val="nothing"/>
      <w:lvlText w:val="%1.%2"/>
      <w:lvlJc w:val="left"/>
      <w:pPr>
        <w:ind w:left="4840" w:hanging="3836"/>
      </w:pPr>
      <w:rPr>
        <w:rFonts w:hint="eastAsia" w:cs="Times New Roman"/>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994" w:hanging="170"/>
      </w:pPr>
      <w:rPr>
        <w:b w:val="0"/>
        <w:i w:val="0"/>
        <w:strike w:val="0"/>
        <w:color w:val="000000"/>
      </w:rPr>
    </w:lvl>
    <w:lvl w:ilvl="3" w:tentative="0">
      <w:start w:val="1"/>
      <w:numFmt w:val="decimal"/>
      <w:suff w:val="nothing"/>
      <w:lvlText w:val="%1.%2.%3.%4"/>
      <w:lvlJc w:val="left"/>
      <w:pPr>
        <w:ind w:left="388" w:hanging="227"/>
      </w:pPr>
      <w:rPr>
        <w:rFonts w:hint="eastAsia"/>
        <w:b w:val="0"/>
        <w:i w:val="0"/>
      </w:rPr>
    </w:lvl>
    <w:lvl w:ilvl="4" w:tentative="0">
      <w:start w:val="1"/>
      <w:numFmt w:val="decimal"/>
      <w:suff w:val="nothing"/>
      <w:lvlText w:val="%1.%2.%3.%4.%5"/>
      <w:lvlJc w:val="left"/>
      <w:pPr>
        <w:ind w:left="501" w:hanging="340"/>
      </w:pPr>
      <w:rPr>
        <w:rFonts w:hint="eastAsia" w:ascii="宋体" w:eastAsia="宋体"/>
        <w:b w:val="0"/>
        <w:i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824"/>
        </w:tabs>
        <w:ind w:left="3518" w:hanging="1134"/>
      </w:pPr>
      <w:rPr>
        <w:rFonts w:hint="eastAsia"/>
      </w:rPr>
    </w:lvl>
    <w:lvl w:ilvl="6" w:tentative="0">
      <w:start w:val="1"/>
      <w:numFmt w:val="decimal"/>
      <w:lvlText w:val="%1.%2.%3.%4.%5.%6.%7"/>
      <w:lvlJc w:val="left"/>
      <w:pPr>
        <w:tabs>
          <w:tab w:val="left" w:pos="4609"/>
        </w:tabs>
        <w:ind w:left="4085" w:hanging="1276"/>
      </w:pPr>
      <w:rPr>
        <w:rFonts w:hint="eastAsia"/>
      </w:rPr>
    </w:lvl>
    <w:lvl w:ilvl="7" w:tentative="0">
      <w:start w:val="1"/>
      <w:numFmt w:val="decimal"/>
      <w:lvlText w:val="%1.%2.%3.%4.%5.%6.%7.%8"/>
      <w:lvlJc w:val="left"/>
      <w:pPr>
        <w:tabs>
          <w:tab w:val="left" w:pos="5394"/>
        </w:tabs>
        <w:ind w:left="4652" w:hanging="1418"/>
      </w:pPr>
      <w:rPr>
        <w:rFonts w:hint="eastAsia"/>
      </w:rPr>
    </w:lvl>
    <w:lvl w:ilvl="8" w:tentative="0">
      <w:start w:val="1"/>
      <w:numFmt w:val="decimal"/>
      <w:lvlText w:val="%1.%2.%3.%4.%5.%6.%7.%8.%9"/>
      <w:lvlJc w:val="left"/>
      <w:pPr>
        <w:tabs>
          <w:tab w:val="left" w:pos="5820"/>
        </w:tabs>
        <w:ind w:left="5360"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RjYWRmYjNkMTA4OTNjNGQ4ZjRhMGE2MTdiZTNmYTEifQ=="/>
    <w:docVar w:name="KGWebUrl" w:val="https://10.2.240.65:11335/seeyon/officeservlet"/>
  </w:docVars>
  <w:rsids>
    <w:rsidRoot w:val="00172A27"/>
    <w:rsid w:val="00092597"/>
    <w:rsid w:val="000B67AD"/>
    <w:rsid w:val="00155C26"/>
    <w:rsid w:val="00164DB5"/>
    <w:rsid w:val="00172A27"/>
    <w:rsid w:val="001A15E5"/>
    <w:rsid w:val="001B5C80"/>
    <w:rsid w:val="002002C3"/>
    <w:rsid w:val="00216121"/>
    <w:rsid w:val="00232F1A"/>
    <w:rsid w:val="002717B0"/>
    <w:rsid w:val="00272332"/>
    <w:rsid w:val="00275C35"/>
    <w:rsid w:val="00283890"/>
    <w:rsid w:val="002854FC"/>
    <w:rsid w:val="002B3AAF"/>
    <w:rsid w:val="003307C5"/>
    <w:rsid w:val="00364A6C"/>
    <w:rsid w:val="00371ACE"/>
    <w:rsid w:val="003B4EED"/>
    <w:rsid w:val="0045470A"/>
    <w:rsid w:val="00461E8F"/>
    <w:rsid w:val="005270B4"/>
    <w:rsid w:val="00554B5E"/>
    <w:rsid w:val="00564343"/>
    <w:rsid w:val="00571164"/>
    <w:rsid w:val="00574B5C"/>
    <w:rsid w:val="00574E1B"/>
    <w:rsid w:val="0057643A"/>
    <w:rsid w:val="005829DA"/>
    <w:rsid w:val="0059276D"/>
    <w:rsid w:val="005A70AC"/>
    <w:rsid w:val="005E291C"/>
    <w:rsid w:val="00642820"/>
    <w:rsid w:val="00650DBB"/>
    <w:rsid w:val="0065109A"/>
    <w:rsid w:val="006517CC"/>
    <w:rsid w:val="00651987"/>
    <w:rsid w:val="00680396"/>
    <w:rsid w:val="006A0BF3"/>
    <w:rsid w:val="006A710B"/>
    <w:rsid w:val="006A7B70"/>
    <w:rsid w:val="006B715A"/>
    <w:rsid w:val="00703A77"/>
    <w:rsid w:val="00736531"/>
    <w:rsid w:val="00752409"/>
    <w:rsid w:val="0079150A"/>
    <w:rsid w:val="007D1081"/>
    <w:rsid w:val="00813DF9"/>
    <w:rsid w:val="008223D4"/>
    <w:rsid w:val="00825D2A"/>
    <w:rsid w:val="008419D2"/>
    <w:rsid w:val="00852602"/>
    <w:rsid w:val="008810FD"/>
    <w:rsid w:val="008878F4"/>
    <w:rsid w:val="00897C44"/>
    <w:rsid w:val="008A21C9"/>
    <w:rsid w:val="008B50EA"/>
    <w:rsid w:val="008C0B9B"/>
    <w:rsid w:val="00901A94"/>
    <w:rsid w:val="00921F1B"/>
    <w:rsid w:val="00935814"/>
    <w:rsid w:val="0097508D"/>
    <w:rsid w:val="009A7981"/>
    <w:rsid w:val="00A165FD"/>
    <w:rsid w:val="00A27ACD"/>
    <w:rsid w:val="00AD2281"/>
    <w:rsid w:val="00B17627"/>
    <w:rsid w:val="00B65FA0"/>
    <w:rsid w:val="00B66047"/>
    <w:rsid w:val="00BF251A"/>
    <w:rsid w:val="00C37276"/>
    <w:rsid w:val="00C43977"/>
    <w:rsid w:val="00C8298B"/>
    <w:rsid w:val="00C92824"/>
    <w:rsid w:val="00CC4C4E"/>
    <w:rsid w:val="00CF0E52"/>
    <w:rsid w:val="00D537DA"/>
    <w:rsid w:val="00D6215A"/>
    <w:rsid w:val="00DB356D"/>
    <w:rsid w:val="00DE216F"/>
    <w:rsid w:val="00EA4B32"/>
    <w:rsid w:val="00EF505A"/>
    <w:rsid w:val="00F10EE3"/>
    <w:rsid w:val="00F32E6D"/>
    <w:rsid w:val="00F54137"/>
    <w:rsid w:val="00F80E14"/>
    <w:rsid w:val="00FB31D0"/>
    <w:rsid w:val="00FC7DFF"/>
    <w:rsid w:val="013A1A1A"/>
    <w:rsid w:val="021E624F"/>
    <w:rsid w:val="025A03DA"/>
    <w:rsid w:val="032B6ED6"/>
    <w:rsid w:val="034B6AB1"/>
    <w:rsid w:val="039A7379"/>
    <w:rsid w:val="04462670"/>
    <w:rsid w:val="04F84106"/>
    <w:rsid w:val="050E3C3D"/>
    <w:rsid w:val="05991C04"/>
    <w:rsid w:val="06DF69CB"/>
    <w:rsid w:val="09736D12"/>
    <w:rsid w:val="09C937DE"/>
    <w:rsid w:val="0A121ED1"/>
    <w:rsid w:val="0A4459A3"/>
    <w:rsid w:val="0AA752CE"/>
    <w:rsid w:val="0ABB17B1"/>
    <w:rsid w:val="0B2331F6"/>
    <w:rsid w:val="0B233D9B"/>
    <w:rsid w:val="0B2D32E7"/>
    <w:rsid w:val="0C2D5916"/>
    <w:rsid w:val="0D0648F3"/>
    <w:rsid w:val="0DB671EA"/>
    <w:rsid w:val="0DD62172"/>
    <w:rsid w:val="0DE14585"/>
    <w:rsid w:val="0E49386A"/>
    <w:rsid w:val="0E4F566B"/>
    <w:rsid w:val="0EDC3EB6"/>
    <w:rsid w:val="0EDC7AAC"/>
    <w:rsid w:val="0F552DD8"/>
    <w:rsid w:val="0F5B7F5F"/>
    <w:rsid w:val="107D175F"/>
    <w:rsid w:val="10BB7E49"/>
    <w:rsid w:val="1205006A"/>
    <w:rsid w:val="121A7E6E"/>
    <w:rsid w:val="125E660F"/>
    <w:rsid w:val="13855ED3"/>
    <w:rsid w:val="147729F9"/>
    <w:rsid w:val="14D3507F"/>
    <w:rsid w:val="14DA4F34"/>
    <w:rsid w:val="15683FB3"/>
    <w:rsid w:val="157B605A"/>
    <w:rsid w:val="15A156C1"/>
    <w:rsid w:val="15B2002D"/>
    <w:rsid w:val="16AE6169"/>
    <w:rsid w:val="16F9056D"/>
    <w:rsid w:val="174E5809"/>
    <w:rsid w:val="176B1EC7"/>
    <w:rsid w:val="19877DEE"/>
    <w:rsid w:val="19F54EEE"/>
    <w:rsid w:val="1A1960CE"/>
    <w:rsid w:val="1AC13CB4"/>
    <w:rsid w:val="1AD965A7"/>
    <w:rsid w:val="1C776484"/>
    <w:rsid w:val="1CA0064E"/>
    <w:rsid w:val="1CFD5135"/>
    <w:rsid w:val="1D037053"/>
    <w:rsid w:val="1D1F48B6"/>
    <w:rsid w:val="1DAD27B7"/>
    <w:rsid w:val="1DB84526"/>
    <w:rsid w:val="1E0055A1"/>
    <w:rsid w:val="1EAF29D3"/>
    <w:rsid w:val="1F5B137D"/>
    <w:rsid w:val="1FEA0057"/>
    <w:rsid w:val="1FEF69E9"/>
    <w:rsid w:val="200E3AE8"/>
    <w:rsid w:val="20DF18F7"/>
    <w:rsid w:val="21331BF5"/>
    <w:rsid w:val="21E66F14"/>
    <w:rsid w:val="22277F7A"/>
    <w:rsid w:val="225519DA"/>
    <w:rsid w:val="225F4C8F"/>
    <w:rsid w:val="23371FB0"/>
    <w:rsid w:val="235902A2"/>
    <w:rsid w:val="24160BDD"/>
    <w:rsid w:val="242211CE"/>
    <w:rsid w:val="248D52CD"/>
    <w:rsid w:val="249D2158"/>
    <w:rsid w:val="24E862E1"/>
    <w:rsid w:val="251E7876"/>
    <w:rsid w:val="25DD0E92"/>
    <w:rsid w:val="25E32535"/>
    <w:rsid w:val="260C05B6"/>
    <w:rsid w:val="272E720A"/>
    <w:rsid w:val="27E404E5"/>
    <w:rsid w:val="282C6F4A"/>
    <w:rsid w:val="284F5955"/>
    <w:rsid w:val="28AA4453"/>
    <w:rsid w:val="29DA0504"/>
    <w:rsid w:val="2ADC1EAD"/>
    <w:rsid w:val="2B27344B"/>
    <w:rsid w:val="2CCD5CD7"/>
    <w:rsid w:val="2CF65A82"/>
    <w:rsid w:val="2E0871E1"/>
    <w:rsid w:val="2E505CAA"/>
    <w:rsid w:val="2F0D71E4"/>
    <w:rsid w:val="2F201553"/>
    <w:rsid w:val="2F2143A8"/>
    <w:rsid w:val="2FE86CE4"/>
    <w:rsid w:val="30420F9B"/>
    <w:rsid w:val="3066409C"/>
    <w:rsid w:val="31105C9B"/>
    <w:rsid w:val="31352131"/>
    <w:rsid w:val="318F0466"/>
    <w:rsid w:val="327C444F"/>
    <w:rsid w:val="334B1232"/>
    <w:rsid w:val="33CC1DBE"/>
    <w:rsid w:val="33D21370"/>
    <w:rsid w:val="33F73515"/>
    <w:rsid w:val="34056D24"/>
    <w:rsid w:val="34E33646"/>
    <w:rsid w:val="35316762"/>
    <w:rsid w:val="3628122D"/>
    <w:rsid w:val="369D13EC"/>
    <w:rsid w:val="36F86FF8"/>
    <w:rsid w:val="371A7C4A"/>
    <w:rsid w:val="3766010A"/>
    <w:rsid w:val="382D7E24"/>
    <w:rsid w:val="39DC495E"/>
    <w:rsid w:val="3A040244"/>
    <w:rsid w:val="3A3E6454"/>
    <w:rsid w:val="3AB65D39"/>
    <w:rsid w:val="3AEA3275"/>
    <w:rsid w:val="3B1A6344"/>
    <w:rsid w:val="3B206ADE"/>
    <w:rsid w:val="3B3E7245"/>
    <w:rsid w:val="3B6A1421"/>
    <w:rsid w:val="3B90053D"/>
    <w:rsid w:val="3BCB236D"/>
    <w:rsid w:val="3D360130"/>
    <w:rsid w:val="3DAC2343"/>
    <w:rsid w:val="3E2B4840"/>
    <w:rsid w:val="3F073B01"/>
    <w:rsid w:val="3FA303E0"/>
    <w:rsid w:val="41143F20"/>
    <w:rsid w:val="41D87F03"/>
    <w:rsid w:val="421D3D58"/>
    <w:rsid w:val="422D4C80"/>
    <w:rsid w:val="425237E7"/>
    <w:rsid w:val="426E73E9"/>
    <w:rsid w:val="42B15B20"/>
    <w:rsid w:val="438E7720"/>
    <w:rsid w:val="43B92544"/>
    <w:rsid w:val="44A967C5"/>
    <w:rsid w:val="457C7CFA"/>
    <w:rsid w:val="46A755D7"/>
    <w:rsid w:val="47427D7A"/>
    <w:rsid w:val="476659F2"/>
    <w:rsid w:val="477D73AE"/>
    <w:rsid w:val="48FE0116"/>
    <w:rsid w:val="49735506"/>
    <w:rsid w:val="4A584D4D"/>
    <w:rsid w:val="4B3B2ADC"/>
    <w:rsid w:val="4BF02238"/>
    <w:rsid w:val="4C5C5AE9"/>
    <w:rsid w:val="4D0E24D9"/>
    <w:rsid w:val="4DAC5684"/>
    <w:rsid w:val="4E4077E0"/>
    <w:rsid w:val="4E676491"/>
    <w:rsid w:val="4EDD5164"/>
    <w:rsid w:val="4F2B7D94"/>
    <w:rsid w:val="4F64324A"/>
    <w:rsid w:val="4F885408"/>
    <w:rsid w:val="50EF43D0"/>
    <w:rsid w:val="51C25C48"/>
    <w:rsid w:val="522F25C7"/>
    <w:rsid w:val="52431E6F"/>
    <w:rsid w:val="52D27B05"/>
    <w:rsid w:val="52D56541"/>
    <w:rsid w:val="53437C72"/>
    <w:rsid w:val="53541FB1"/>
    <w:rsid w:val="539120AE"/>
    <w:rsid w:val="53DD2AB9"/>
    <w:rsid w:val="54B378F5"/>
    <w:rsid w:val="54BF5FBC"/>
    <w:rsid w:val="5506695D"/>
    <w:rsid w:val="563A79A5"/>
    <w:rsid w:val="56944D86"/>
    <w:rsid w:val="569C10DE"/>
    <w:rsid w:val="56C377A5"/>
    <w:rsid w:val="57041ABC"/>
    <w:rsid w:val="571D543F"/>
    <w:rsid w:val="57F61CF0"/>
    <w:rsid w:val="58473C24"/>
    <w:rsid w:val="5863552F"/>
    <w:rsid w:val="59065E86"/>
    <w:rsid w:val="59863EFF"/>
    <w:rsid w:val="598858BC"/>
    <w:rsid w:val="5995347C"/>
    <w:rsid w:val="59AD2BAD"/>
    <w:rsid w:val="5A554748"/>
    <w:rsid w:val="5AB67BA7"/>
    <w:rsid w:val="5B2D3C98"/>
    <w:rsid w:val="5B846552"/>
    <w:rsid w:val="5C824B87"/>
    <w:rsid w:val="5CC81443"/>
    <w:rsid w:val="5E5457B8"/>
    <w:rsid w:val="5E8246C7"/>
    <w:rsid w:val="5EF65BEA"/>
    <w:rsid w:val="60261490"/>
    <w:rsid w:val="608D4366"/>
    <w:rsid w:val="60C40A76"/>
    <w:rsid w:val="60C44823"/>
    <w:rsid w:val="61E73158"/>
    <w:rsid w:val="63340547"/>
    <w:rsid w:val="63C331EF"/>
    <w:rsid w:val="66016809"/>
    <w:rsid w:val="66044A6E"/>
    <w:rsid w:val="66B64A77"/>
    <w:rsid w:val="67393CF3"/>
    <w:rsid w:val="67934E36"/>
    <w:rsid w:val="687822BC"/>
    <w:rsid w:val="68F25718"/>
    <w:rsid w:val="69FC498F"/>
    <w:rsid w:val="6A5D64C0"/>
    <w:rsid w:val="6A9430AB"/>
    <w:rsid w:val="6AEC2909"/>
    <w:rsid w:val="6AEE20E0"/>
    <w:rsid w:val="6BB46868"/>
    <w:rsid w:val="6BBB4EB2"/>
    <w:rsid w:val="6BD04735"/>
    <w:rsid w:val="6BF306BE"/>
    <w:rsid w:val="6BFA2750"/>
    <w:rsid w:val="6C597CBB"/>
    <w:rsid w:val="6C8264F3"/>
    <w:rsid w:val="6D3B2AFB"/>
    <w:rsid w:val="6D9A01AE"/>
    <w:rsid w:val="6DA16A22"/>
    <w:rsid w:val="6DEE7FEB"/>
    <w:rsid w:val="6E505BF2"/>
    <w:rsid w:val="6EAB5825"/>
    <w:rsid w:val="6EB172EC"/>
    <w:rsid w:val="6ED44110"/>
    <w:rsid w:val="6F7E254A"/>
    <w:rsid w:val="6FC347C7"/>
    <w:rsid w:val="6FDB1F9F"/>
    <w:rsid w:val="6FFD6DB3"/>
    <w:rsid w:val="703315E0"/>
    <w:rsid w:val="709E6BC8"/>
    <w:rsid w:val="71332223"/>
    <w:rsid w:val="713C63DA"/>
    <w:rsid w:val="714F6D11"/>
    <w:rsid w:val="71BD0006"/>
    <w:rsid w:val="72241AFF"/>
    <w:rsid w:val="72703AF9"/>
    <w:rsid w:val="737D581C"/>
    <w:rsid w:val="73982799"/>
    <w:rsid w:val="746520A3"/>
    <w:rsid w:val="74A03FF3"/>
    <w:rsid w:val="74EA412A"/>
    <w:rsid w:val="74F34531"/>
    <w:rsid w:val="75AB1A92"/>
    <w:rsid w:val="75CF1711"/>
    <w:rsid w:val="76594441"/>
    <w:rsid w:val="766B15C7"/>
    <w:rsid w:val="76765915"/>
    <w:rsid w:val="76EDBE85"/>
    <w:rsid w:val="777530B3"/>
    <w:rsid w:val="783D01A7"/>
    <w:rsid w:val="78525A87"/>
    <w:rsid w:val="78553DC5"/>
    <w:rsid w:val="79890548"/>
    <w:rsid w:val="799A4B49"/>
    <w:rsid w:val="79A43FD1"/>
    <w:rsid w:val="79BB1809"/>
    <w:rsid w:val="7A2955D1"/>
    <w:rsid w:val="7AD21C22"/>
    <w:rsid w:val="7B2C78D2"/>
    <w:rsid w:val="7B8A60A5"/>
    <w:rsid w:val="7BBBC2F8"/>
    <w:rsid w:val="7D14457D"/>
    <w:rsid w:val="7E307781"/>
    <w:rsid w:val="7F36015E"/>
    <w:rsid w:val="A73F90CD"/>
    <w:rsid w:val="B97C7ECC"/>
    <w:rsid w:val="F37F6F88"/>
    <w:rsid w:val="FEFDDB7F"/>
    <w:rsid w:val="FEFF61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uiPriority="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after="330" w:line="576" w:lineRule="auto"/>
      <w:jc w:val="center"/>
      <w:outlineLvl w:val="0"/>
    </w:pPr>
    <w:rPr>
      <w:b/>
      <w:kern w:val="44"/>
      <w:sz w:val="28"/>
      <w:szCs w:val="44"/>
    </w:rPr>
  </w:style>
  <w:style w:type="paragraph" w:styleId="5">
    <w:name w:val="heading 2"/>
    <w:basedOn w:val="1"/>
    <w:next w:val="1"/>
    <w:link w:val="58"/>
    <w:unhideWhenUsed/>
    <w:qFormat/>
    <w:uiPriority w:val="0"/>
    <w:pPr>
      <w:keepNext/>
      <w:keepLines/>
      <w:spacing w:before="260" w:after="260" w:line="413" w:lineRule="auto"/>
      <w:jc w:val="left"/>
      <w:outlineLvl w:val="1"/>
    </w:pPr>
    <w:rPr>
      <w:rFonts w:ascii="Arial" w:hAnsi="Arial" w:eastAsia="宋体"/>
      <w:b/>
    </w:rPr>
  </w:style>
  <w:style w:type="paragraph" w:styleId="6">
    <w:name w:val="heading 3"/>
    <w:basedOn w:val="7"/>
    <w:next w:val="1"/>
    <w:unhideWhenUsed/>
    <w:qFormat/>
    <w:uiPriority w:val="0"/>
    <w:pPr>
      <w:spacing w:before="260" w:after="260" w:line="413" w:lineRule="auto"/>
      <w:jc w:val="center"/>
      <w:outlineLvl w:val="2"/>
    </w:pPr>
    <w:rPr>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semiHidden/>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_Style 3"/>
    <w:basedOn w:val="1"/>
    <w:next w:val="3"/>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styleId="3">
    <w:name w:val="Body Text Indent 3"/>
    <w:basedOn w:val="1"/>
    <w:qFormat/>
    <w:uiPriority w:val="0"/>
    <w:pPr>
      <w:spacing w:after="120"/>
      <w:ind w:left="420" w:leftChars="200"/>
    </w:pPr>
    <w:rPr>
      <w:sz w:val="16"/>
      <w:szCs w:val="16"/>
    </w:rPr>
  </w:style>
  <w:style w:type="paragraph" w:styleId="9">
    <w:name w:val="Normal Indent"/>
    <w:basedOn w:val="1"/>
    <w:qFormat/>
    <w:uiPriority w:val="0"/>
    <w:pPr>
      <w:autoSpaceDE w:val="0"/>
      <w:autoSpaceDN w:val="0"/>
      <w:spacing w:line="360" w:lineRule="auto"/>
      <w:ind w:left="181" w:firstLine="420"/>
    </w:pPr>
    <w:rPr>
      <w:rFonts w:ascii="Times New Roman" w:hAnsi="Times New Roman"/>
      <w:szCs w:val="20"/>
    </w:rPr>
  </w:style>
  <w:style w:type="paragraph" w:styleId="10">
    <w:name w:val="annotation text"/>
    <w:basedOn w:val="1"/>
    <w:link w:val="66"/>
    <w:qFormat/>
    <w:uiPriority w:val="0"/>
    <w:pPr>
      <w:jc w:val="left"/>
    </w:pPr>
    <w:rPr>
      <w:rFonts w:ascii="Times New Roman" w:hAnsi="Times New Roman"/>
    </w:rPr>
  </w:style>
  <w:style w:type="paragraph" w:styleId="11">
    <w:name w:val="Body Text"/>
    <w:basedOn w:val="1"/>
    <w:next w:val="1"/>
    <w:qFormat/>
    <w:uiPriority w:val="0"/>
    <w:pPr>
      <w:spacing w:line="360" w:lineRule="auto"/>
    </w:pPr>
    <w:rPr>
      <w:b/>
      <w:bCs/>
      <w:sz w:val="24"/>
    </w:rPr>
  </w:style>
  <w:style w:type="paragraph" w:styleId="12">
    <w:name w:val="Body Text Indent"/>
    <w:basedOn w:val="1"/>
    <w:qFormat/>
    <w:uiPriority w:val="0"/>
    <w:pPr>
      <w:ind w:left="420" w:leftChars="200"/>
    </w:pPr>
  </w:style>
  <w:style w:type="paragraph" w:styleId="13">
    <w:name w:val="toc 3"/>
    <w:basedOn w:val="1"/>
    <w:next w:val="1"/>
    <w:qFormat/>
    <w:uiPriority w:val="0"/>
    <w:pPr>
      <w:ind w:left="840" w:leftChars="400"/>
    </w:pPr>
  </w:style>
  <w:style w:type="paragraph" w:styleId="14">
    <w:name w:val="Plain Text"/>
    <w:basedOn w:val="1"/>
    <w:qFormat/>
    <w:uiPriority w:val="0"/>
    <w:pPr>
      <w:spacing w:line="360" w:lineRule="auto"/>
    </w:pPr>
    <w:rPr>
      <w:rFonts w:ascii="宋体" w:hAnsi="Courier New"/>
      <w:szCs w:val="21"/>
    </w:rPr>
  </w:style>
  <w:style w:type="paragraph" w:styleId="15">
    <w:name w:val="Balloon Text"/>
    <w:basedOn w:val="1"/>
    <w:link w:val="55"/>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toc 2"/>
    <w:basedOn w:val="1"/>
    <w:next w:val="1"/>
    <w:qFormat/>
    <w:uiPriority w:val="0"/>
    <w:pPr>
      <w:ind w:left="420" w:leftChars="200"/>
    </w:pPr>
  </w:style>
  <w:style w:type="paragraph" w:styleId="22">
    <w:name w:val="Normal (Web)"/>
    <w:basedOn w:val="1"/>
    <w:qFormat/>
    <w:uiPriority w:val="0"/>
    <w:pPr>
      <w:spacing w:beforeAutospacing="1" w:afterAutospacing="1"/>
      <w:jc w:val="left"/>
    </w:pPr>
    <w:rPr>
      <w:rFonts w:cs="Times New Roman"/>
      <w:kern w:val="0"/>
      <w:sz w:val="24"/>
    </w:rPr>
  </w:style>
  <w:style w:type="paragraph" w:styleId="23">
    <w:name w:val="annotation subject"/>
    <w:basedOn w:val="10"/>
    <w:next w:val="10"/>
    <w:link w:val="67"/>
    <w:semiHidden/>
    <w:unhideWhenUsed/>
    <w:qFormat/>
    <w:uiPriority w:val="0"/>
    <w:rPr>
      <w:rFonts w:asciiTheme="minorHAnsi" w:hAnsiTheme="minorHAnsi"/>
      <w:b/>
      <w:bCs/>
    </w:rPr>
  </w:style>
  <w:style w:type="paragraph" w:styleId="24">
    <w:name w:val="Body Text First Indent"/>
    <w:basedOn w:val="11"/>
    <w:qFormat/>
    <w:uiPriority w:val="0"/>
    <w:pPr>
      <w:ind w:firstLine="420" w:firstLineChars="100"/>
    </w:pPr>
    <w:rPr>
      <w:rFonts w:ascii="宋体" w:hAnsi="Calibri"/>
      <w:szCs w:val="20"/>
    </w:rPr>
  </w:style>
  <w:style w:type="paragraph" w:styleId="25">
    <w:name w:val="Body Text First Indent 2"/>
    <w:basedOn w:val="12"/>
    <w:qFormat/>
    <w:uiPriority w:val="0"/>
    <w:pPr>
      <w:ind w:firstLine="420" w:firstLineChars="2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style>
  <w:style w:type="character" w:styleId="30">
    <w:name w:val="FollowedHyperlink"/>
    <w:basedOn w:val="28"/>
    <w:qFormat/>
    <w:uiPriority w:val="0"/>
    <w:rPr>
      <w:color w:val="3D3D3D"/>
      <w:u w:val="none"/>
    </w:rPr>
  </w:style>
  <w:style w:type="character" w:styleId="31">
    <w:name w:val="Emphasis"/>
    <w:basedOn w:val="28"/>
    <w:qFormat/>
    <w:uiPriority w:val="0"/>
  </w:style>
  <w:style w:type="character" w:styleId="32">
    <w:name w:val="HTML Definition"/>
    <w:basedOn w:val="28"/>
    <w:qFormat/>
    <w:uiPriority w:val="0"/>
  </w:style>
  <w:style w:type="character" w:styleId="33">
    <w:name w:val="HTML Acronym"/>
    <w:basedOn w:val="28"/>
    <w:qFormat/>
    <w:uiPriority w:val="0"/>
  </w:style>
  <w:style w:type="character" w:styleId="34">
    <w:name w:val="HTML Variable"/>
    <w:basedOn w:val="28"/>
    <w:qFormat/>
    <w:uiPriority w:val="0"/>
  </w:style>
  <w:style w:type="character" w:styleId="35">
    <w:name w:val="Hyperlink"/>
    <w:basedOn w:val="28"/>
    <w:qFormat/>
    <w:uiPriority w:val="0"/>
    <w:rPr>
      <w:color w:val="3D3D3D"/>
      <w:u w:val="none"/>
    </w:rPr>
  </w:style>
  <w:style w:type="character" w:styleId="36">
    <w:name w:val="HTML Code"/>
    <w:basedOn w:val="28"/>
    <w:qFormat/>
    <w:uiPriority w:val="0"/>
    <w:rPr>
      <w:rFonts w:ascii="Courier New" w:hAnsi="Courier New"/>
      <w:sz w:val="20"/>
    </w:rPr>
  </w:style>
  <w:style w:type="character" w:styleId="37">
    <w:name w:val="annotation reference"/>
    <w:qFormat/>
    <w:uiPriority w:val="0"/>
    <w:rPr>
      <w:sz w:val="21"/>
      <w:szCs w:val="21"/>
    </w:rPr>
  </w:style>
  <w:style w:type="character" w:styleId="38">
    <w:name w:val="HTML Cite"/>
    <w:basedOn w:val="28"/>
    <w:qFormat/>
    <w:uiPriority w:val="0"/>
  </w:style>
  <w:style w:type="paragraph" w:customStyle="1" w:styleId="39">
    <w:name w:val="Char"/>
    <w:unhideWhenUsed/>
    <w:qFormat/>
    <w:uiPriority w:val="0"/>
    <w:pPr>
      <w:widowControl w:val="0"/>
      <w:shd w:val="clear" w:color="auto" w:fill="000080"/>
      <w:adjustRightInd w:val="0"/>
      <w:snapToGrid w:val="0"/>
      <w:spacing w:line="360" w:lineRule="auto"/>
      <w:jc w:val="both"/>
    </w:pPr>
    <w:rPr>
      <w:rFonts w:ascii="Tahoma" w:hAnsi="Tahoma" w:eastAsia="宋体" w:cs="Times New Roman"/>
      <w:kern w:val="2"/>
      <w:sz w:val="24"/>
      <w:szCs w:val="24"/>
      <w:lang w:val="en-US" w:eastAsia="zh-CN" w:bidi="ar-SA"/>
    </w:rPr>
  </w:style>
  <w:style w:type="paragraph" w:customStyle="1" w:styleId="40">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character" w:customStyle="1" w:styleId="41">
    <w:name w:val="gpa"/>
    <w:basedOn w:val="28"/>
    <w:qFormat/>
    <w:uiPriority w:val="0"/>
    <w:rPr>
      <w:rFonts w:ascii="Arial" w:hAnsi="Arial" w:cs="Arial"/>
      <w:sz w:val="15"/>
      <w:szCs w:val="15"/>
    </w:rPr>
  </w:style>
  <w:style w:type="character" w:customStyle="1" w:styleId="42">
    <w:name w:val="selected"/>
    <w:basedOn w:val="28"/>
    <w:qFormat/>
    <w:uiPriority w:val="0"/>
    <w:rPr>
      <w:shd w:val="clear" w:color="auto" w:fill="B00006"/>
    </w:rPr>
  </w:style>
  <w:style w:type="character" w:customStyle="1" w:styleId="43">
    <w:name w:val="displayarti"/>
    <w:basedOn w:val="28"/>
    <w:qFormat/>
    <w:uiPriority w:val="0"/>
    <w:rPr>
      <w:color w:val="FFFFFF"/>
      <w:shd w:val="clear" w:color="auto" w:fill="A00000"/>
    </w:rPr>
  </w:style>
  <w:style w:type="character" w:customStyle="1" w:styleId="44">
    <w:name w:val="bds_more"/>
    <w:basedOn w:val="28"/>
    <w:qFormat/>
    <w:uiPriority w:val="0"/>
    <w:rPr>
      <w:rFonts w:hint="eastAsia" w:ascii="宋体" w:hAnsi="宋体" w:eastAsia="宋体" w:cs="宋体"/>
    </w:rPr>
  </w:style>
  <w:style w:type="character" w:customStyle="1" w:styleId="45">
    <w:name w:val="bds_more1"/>
    <w:basedOn w:val="28"/>
    <w:qFormat/>
    <w:uiPriority w:val="0"/>
  </w:style>
  <w:style w:type="character" w:customStyle="1" w:styleId="46">
    <w:name w:val="bds_more2"/>
    <w:basedOn w:val="28"/>
    <w:qFormat/>
    <w:uiPriority w:val="0"/>
  </w:style>
  <w:style w:type="character" w:customStyle="1" w:styleId="47">
    <w:name w:val="bds_nopic"/>
    <w:basedOn w:val="28"/>
    <w:qFormat/>
    <w:uiPriority w:val="0"/>
  </w:style>
  <w:style w:type="character" w:customStyle="1" w:styleId="48">
    <w:name w:val="bds_nopic1"/>
    <w:basedOn w:val="28"/>
    <w:qFormat/>
    <w:uiPriority w:val="0"/>
  </w:style>
  <w:style w:type="character" w:customStyle="1" w:styleId="49">
    <w:name w:val="bds_nopic2"/>
    <w:basedOn w:val="28"/>
    <w:qFormat/>
    <w:uiPriority w:val="0"/>
  </w:style>
  <w:style w:type="paragraph" w:customStyle="1" w:styleId="50">
    <w:name w:val="列出段落1"/>
    <w:basedOn w:val="1"/>
    <w:qFormat/>
    <w:uiPriority w:val="0"/>
    <w:pPr>
      <w:ind w:firstLine="420" w:firstLineChars="200"/>
    </w:pPr>
    <w:rPr>
      <w:rFonts w:ascii="Calibri" w:hAnsi="Calibri"/>
      <w:szCs w:val="22"/>
    </w:rPr>
  </w:style>
  <w:style w:type="paragraph" w:customStyle="1" w:styleId="51">
    <w:name w:val="列出段落11"/>
    <w:basedOn w:val="1"/>
    <w:qFormat/>
    <w:uiPriority w:val="0"/>
    <w:pPr>
      <w:ind w:firstLine="420" w:firstLineChars="200"/>
    </w:pPr>
    <w:rPr>
      <w:rFonts w:ascii="Calibri" w:hAnsi="Calibri"/>
      <w:szCs w:val="22"/>
    </w:rPr>
  </w:style>
  <w:style w:type="paragraph" w:customStyle="1" w:styleId="52">
    <w:name w:val="正文缩进1"/>
    <w:basedOn w:val="1"/>
    <w:qFormat/>
    <w:uiPriority w:val="0"/>
    <w:pPr>
      <w:spacing w:line="300" w:lineRule="auto"/>
      <w:ind w:firstLine="420"/>
    </w:pPr>
    <w:rPr>
      <w:snapToGrid w:val="0"/>
      <w:sz w:val="24"/>
      <w:lang w:eastAsia="en-US"/>
    </w:rPr>
  </w:style>
  <w:style w:type="character" w:customStyle="1" w:styleId="53">
    <w:name w:val="apple-style-span"/>
    <w:basedOn w:val="28"/>
    <w:qFormat/>
    <w:uiPriority w:val="0"/>
  </w:style>
  <w:style w:type="paragraph" w:customStyle="1" w:styleId="54">
    <w:name w:val="xl43"/>
    <w:basedOn w:val="1"/>
    <w:qFormat/>
    <w:uiPriority w:val="0"/>
    <w:pPr>
      <w:widowControl/>
      <w:pBdr>
        <w:bottom w:val="single" w:color="auto" w:sz="4" w:space="0"/>
      </w:pBdr>
      <w:spacing w:before="100" w:beforeAutospacing="1" w:after="100" w:afterAutospacing="1"/>
      <w:jc w:val="center"/>
    </w:pPr>
    <w:rPr>
      <w:rFonts w:ascii="仿宋_GB2312" w:hAnsi="Arial Unicode MS" w:eastAsia="仿宋_GB2312"/>
      <w:kern w:val="0"/>
      <w:sz w:val="24"/>
    </w:rPr>
  </w:style>
  <w:style w:type="character" w:customStyle="1" w:styleId="55">
    <w:name w:val="批注框文本 字符"/>
    <w:basedOn w:val="28"/>
    <w:link w:val="15"/>
    <w:qFormat/>
    <w:uiPriority w:val="0"/>
    <w:rPr>
      <w:rFonts w:asciiTheme="minorHAnsi" w:hAnsiTheme="minorHAnsi" w:eastAsiaTheme="minorEastAsia" w:cstheme="minorBidi"/>
      <w:kern w:val="2"/>
      <w:sz w:val="18"/>
      <w:szCs w:val="18"/>
    </w:rPr>
  </w:style>
  <w:style w:type="character" w:customStyle="1" w:styleId="56">
    <w:name w:val="标题 3 Char2"/>
    <w:qFormat/>
    <w:uiPriority w:val="0"/>
    <w:rPr>
      <w:b/>
      <w:sz w:val="32"/>
    </w:rPr>
  </w:style>
  <w:style w:type="paragraph" w:customStyle="1" w:styleId="57">
    <w:name w:val="样式 USE 1 + 行距: 单倍行距"/>
    <w:basedOn w:val="1"/>
    <w:qFormat/>
    <w:uiPriority w:val="0"/>
    <w:pPr>
      <w:numPr>
        <w:ilvl w:val="0"/>
        <w:numId w:val="1"/>
      </w:numPr>
      <w:spacing w:line="180" w:lineRule="atLeast"/>
      <w:jc w:val="left"/>
    </w:pPr>
    <w:rPr>
      <w:rFonts w:ascii="宋体" w:hAnsi="宋体" w:cs="宋体"/>
      <w:b/>
      <w:bCs/>
      <w:sz w:val="24"/>
      <w:szCs w:val="20"/>
    </w:rPr>
  </w:style>
  <w:style w:type="character" w:customStyle="1" w:styleId="58">
    <w:name w:val="标题 2 字符"/>
    <w:link w:val="5"/>
    <w:qFormat/>
    <w:uiPriority w:val="0"/>
    <w:rPr>
      <w:rFonts w:ascii="Arial" w:hAnsi="Arial" w:eastAsia="宋体"/>
      <w:b/>
    </w:rPr>
  </w:style>
  <w:style w:type="paragraph" w:customStyle="1" w:styleId="59">
    <w:name w:val="USE 1"/>
    <w:basedOn w:val="1"/>
    <w:qFormat/>
    <w:uiPriority w:val="0"/>
    <w:pPr>
      <w:spacing w:line="200" w:lineRule="atLeast"/>
      <w:jc w:val="left"/>
    </w:pPr>
    <w:rPr>
      <w:rFonts w:ascii="宋体" w:hAnsi="宋体"/>
      <w:b/>
      <w:sz w:val="24"/>
      <w:szCs w:val="28"/>
    </w:rPr>
  </w:style>
  <w:style w:type="paragraph" w:customStyle="1" w:styleId="60">
    <w:name w:val="WPSOffice手动目录 1"/>
    <w:qFormat/>
    <w:uiPriority w:val="0"/>
    <w:rPr>
      <w:rFonts w:ascii="Times New Roman" w:hAnsi="Times New Roman" w:eastAsia="宋体" w:cs="Times New Roman"/>
      <w:lang w:val="en-US" w:eastAsia="zh-CN" w:bidi="ar-SA"/>
    </w:rPr>
  </w:style>
  <w:style w:type="paragraph" w:customStyle="1" w:styleId="6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2">
    <w:name w:val="WPSOffice手动目录 3"/>
    <w:qFormat/>
    <w:uiPriority w:val="0"/>
    <w:pPr>
      <w:ind w:left="400" w:leftChars="400"/>
    </w:pPr>
    <w:rPr>
      <w:rFonts w:ascii="Times New Roman" w:hAnsi="Times New Roman" w:eastAsia="宋体" w:cs="Times New Roman"/>
      <w:lang w:val="en-US" w:eastAsia="zh-CN" w:bidi="ar-SA"/>
    </w:rPr>
  </w:style>
  <w:style w:type="paragraph" w:styleId="63">
    <w:name w:val="List Paragraph"/>
    <w:qFormat/>
    <w:uiPriority w:val="0"/>
    <w:pPr>
      <w:widowControl w:val="0"/>
      <w:ind w:firstLine="420" w:firstLineChars="200"/>
      <w:jc w:val="both"/>
    </w:pPr>
    <w:rPr>
      <w:rFonts w:ascii="Tahoma" w:hAnsi="Tahoma" w:eastAsia="宋体" w:cs="Times New Roman"/>
      <w:kern w:val="2"/>
      <w:sz w:val="24"/>
      <w:szCs w:val="24"/>
      <w:lang w:val="en-US" w:eastAsia="zh-CN" w:bidi="ar-SA"/>
    </w:rPr>
  </w:style>
  <w:style w:type="paragraph" w:customStyle="1" w:styleId="64">
    <w:name w:val="列出段落2"/>
    <w:basedOn w:val="1"/>
    <w:qFormat/>
    <w:uiPriority w:val="0"/>
    <w:pPr>
      <w:ind w:firstLine="420" w:firstLineChars="200"/>
    </w:pPr>
    <w:rPr>
      <w:rFonts w:ascii="Calibri" w:hAnsi="Calibri" w:eastAsia="宋体" w:cs="Times New Roman"/>
    </w:rPr>
  </w:style>
  <w:style w:type="character" w:customStyle="1" w:styleId="65">
    <w:name w:val="font11"/>
    <w:basedOn w:val="28"/>
    <w:unhideWhenUsed/>
    <w:qFormat/>
    <w:uiPriority w:val="0"/>
    <w:rPr>
      <w:rFonts w:hint="eastAsia" w:ascii="宋体" w:hAnsi="宋体" w:cs="宋体"/>
      <w:color w:val="000000"/>
      <w:sz w:val="22"/>
      <w:szCs w:val="22"/>
    </w:rPr>
  </w:style>
  <w:style w:type="character" w:customStyle="1" w:styleId="66">
    <w:name w:val="批注文字 字符"/>
    <w:basedOn w:val="28"/>
    <w:link w:val="10"/>
    <w:qFormat/>
    <w:uiPriority w:val="0"/>
    <w:rPr>
      <w:rFonts w:eastAsiaTheme="minorEastAsia" w:cstheme="minorBidi"/>
      <w:kern w:val="2"/>
      <w:sz w:val="21"/>
      <w:szCs w:val="24"/>
    </w:rPr>
  </w:style>
  <w:style w:type="character" w:customStyle="1" w:styleId="67">
    <w:name w:val="批注主题 字符"/>
    <w:basedOn w:val="66"/>
    <w:link w:val="23"/>
    <w:semiHidden/>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P R C</Company>
  <Pages>7</Pages>
  <Words>4031</Words>
  <Characters>4140</Characters>
  <Lines>210</Lines>
  <Paragraphs>59</Paragraphs>
  <TotalTime>2</TotalTime>
  <ScaleCrop>false</ScaleCrop>
  <LinksUpToDate>false</LinksUpToDate>
  <CharactersWithSpaces>4171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2024-07-31T11:55:00Z</dcterms:created>
  <dc:creator>Administrator</dc:creator>
  <cp:lastModifiedBy>肖翔</cp:lastModifiedBy>
  <cp:lastPrinted>2024-08-06T14:34:00Z</cp:lastPrinted>
  <dcterms:modified xsi:type="dcterms:W3CDTF">2026-04-06T08:37:11Z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557A00D80F09492C815B4FD5ADB12A5C</vt:lpwstr>
  </property>
  <property fmtid="{D5CDD505-2E9C-101B-9397-08002B2CF9AE}" pid="4" name="KSOTemplateDocerSaveRecord">
    <vt:lpwstr>eyJoZGlkIjoiMjVlYTZlZWQ5Yjg4MDQ0MDA4NWJlYWRhNmI5YzFmMGYiLCJ1c2VySWQiOiIxODA2MzU4NDY2In0=</vt:lpwstr>
  </property>
</Properties>
</file>