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A353BA">
      <w:pPr>
        <w:spacing w:line="360" w:lineRule="auto"/>
        <w:jc w:val="center"/>
        <w:rPr>
          <w:rFonts w:ascii="宋体" w:hAnsi="宋体"/>
          <w:b/>
          <w:bCs/>
          <w:sz w:val="32"/>
          <w:szCs w:val="28"/>
        </w:rPr>
      </w:pPr>
      <w:r>
        <w:rPr>
          <w:rFonts w:hint="eastAsia" w:ascii="宋体" w:hAnsi="宋体"/>
          <w:b/>
          <w:bCs/>
          <w:sz w:val="32"/>
          <w:szCs w:val="28"/>
          <w:lang w:val="en-US" w:eastAsia="zh-CN"/>
        </w:rPr>
        <w:t>番禺区中心医院综合应急大楼建设项目8#传染病科、发热门诊改造工程</w:t>
      </w:r>
      <w:r>
        <w:rPr>
          <w:rFonts w:hint="eastAsia" w:ascii="宋体" w:hAnsi="宋体"/>
          <w:b/>
          <w:bCs/>
          <w:sz w:val="32"/>
          <w:szCs w:val="28"/>
        </w:rPr>
        <w:t>招标代理服务项目用户需求书</w:t>
      </w:r>
    </w:p>
    <w:p w14:paraId="7E7128E0">
      <w:pPr>
        <w:pStyle w:val="10"/>
        <w:tabs>
          <w:tab w:val="left" w:pos="709"/>
        </w:tabs>
        <w:spacing w:line="360" w:lineRule="auto"/>
        <w:ind w:firstLine="422"/>
        <w:jc w:val="left"/>
        <w:rPr>
          <w:rFonts w:ascii="宋体" w:hAnsi="宋体"/>
          <w:b/>
          <w:bCs/>
          <w:szCs w:val="21"/>
        </w:rPr>
      </w:pPr>
    </w:p>
    <w:p w14:paraId="442518F3">
      <w:pPr>
        <w:pStyle w:val="10"/>
        <w:tabs>
          <w:tab w:val="left" w:pos="709"/>
        </w:tabs>
        <w:spacing w:line="360" w:lineRule="auto"/>
        <w:ind w:firstLine="422"/>
        <w:jc w:val="left"/>
        <w:rPr>
          <w:rFonts w:hint="default" w:ascii="Times New Roman" w:hAnsi="Times New Roman" w:cs="Times New Roman" w:eastAsiaTheme="minorEastAsia"/>
          <w:b/>
          <w:bCs/>
          <w:sz w:val="24"/>
          <w:szCs w:val="24"/>
        </w:rPr>
      </w:pPr>
      <w:r>
        <w:rPr>
          <w:rFonts w:hint="default" w:ascii="Times New Roman" w:hAnsi="Times New Roman" w:cs="Times New Roman" w:eastAsiaTheme="minorEastAsia"/>
          <w:b/>
          <w:bCs/>
          <w:sz w:val="24"/>
          <w:szCs w:val="24"/>
        </w:rPr>
        <w:t>一、项目概况</w:t>
      </w:r>
    </w:p>
    <w:tbl>
      <w:tblPr>
        <w:tblStyle w:val="7"/>
        <w:tblpPr w:leftFromText="180" w:rightFromText="180" w:vertAnchor="text" w:horzAnchor="margin" w:tblpXSpec="center" w:tblpY="71"/>
        <w:tblW w:w="9039" w:type="dxa"/>
        <w:tblInd w:w="0" w:type="dxa"/>
        <w:tblBorders>
          <w:top w:val="single" w:color="auto" w:sz="4" w:space="0"/>
          <w:left w:val="single" w:color="auto" w:sz="4" w:space="0"/>
          <w:bottom w:val="single" w:color="000000" w:sz="6" w:space="0"/>
          <w:right w:val="single" w:color="000000" w:sz="4" w:space="0"/>
          <w:insideH w:val="single" w:color="auto" w:sz="4" w:space="0"/>
          <w:insideV w:val="single" w:color="auto" w:sz="4" w:space="0"/>
        </w:tblBorders>
        <w:tblLayout w:type="fixed"/>
        <w:tblCellMar>
          <w:top w:w="0" w:type="dxa"/>
          <w:left w:w="108" w:type="dxa"/>
          <w:bottom w:w="0" w:type="dxa"/>
          <w:right w:w="108" w:type="dxa"/>
        </w:tblCellMar>
      </w:tblPr>
      <w:tblGrid>
        <w:gridCol w:w="577"/>
        <w:gridCol w:w="1477"/>
        <w:gridCol w:w="2472"/>
        <w:gridCol w:w="1236"/>
        <w:gridCol w:w="912"/>
        <w:gridCol w:w="2365"/>
      </w:tblGrid>
      <w:tr w14:paraId="05D8F6F6">
        <w:tblPrEx>
          <w:tblBorders>
            <w:top w:val="single" w:color="auto" w:sz="4" w:space="0"/>
            <w:left w:val="single" w:color="auto" w:sz="4" w:space="0"/>
            <w:bottom w:val="single" w:color="000000" w:sz="6"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77" w:type="dxa"/>
            <w:vAlign w:val="center"/>
          </w:tcPr>
          <w:p w14:paraId="3D0FE3BB">
            <w:pPr>
              <w:widowControl/>
              <w:spacing w:line="360" w:lineRule="auto"/>
              <w:jc w:val="center"/>
              <w:rPr>
                <w:rFonts w:hint="default" w:ascii="Times New Roman" w:hAnsi="Times New Roman" w:cs="Times New Roman" w:eastAsiaTheme="minorEastAsia"/>
                <w:color w:val="000000"/>
                <w:sz w:val="24"/>
                <w:szCs w:val="24"/>
                <w:highlight w:val="none"/>
              </w:rPr>
            </w:pPr>
            <w:r>
              <w:rPr>
                <w:rFonts w:hint="default" w:ascii="Times New Roman" w:hAnsi="Times New Roman" w:cs="Times New Roman" w:eastAsiaTheme="minorEastAsia"/>
                <w:color w:val="000000"/>
                <w:sz w:val="24"/>
                <w:szCs w:val="24"/>
                <w:highlight w:val="none"/>
              </w:rPr>
              <w:t>序号</w:t>
            </w:r>
          </w:p>
        </w:tc>
        <w:tc>
          <w:tcPr>
            <w:tcW w:w="1477" w:type="dxa"/>
            <w:vAlign w:val="center"/>
          </w:tcPr>
          <w:p w14:paraId="20DCF7BF">
            <w:pPr>
              <w:widowControl/>
              <w:spacing w:line="360" w:lineRule="auto"/>
              <w:jc w:val="center"/>
              <w:rPr>
                <w:rFonts w:hint="default" w:ascii="Times New Roman" w:hAnsi="Times New Roman" w:cs="Times New Roman" w:eastAsiaTheme="minorEastAsia"/>
                <w:color w:val="000000"/>
                <w:sz w:val="24"/>
                <w:szCs w:val="24"/>
                <w:highlight w:val="none"/>
              </w:rPr>
            </w:pPr>
            <w:r>
              <w:rPr>
                <w:rFonts w:hint="default" w:ascii="Times New Roman" w:hAnsi="Times New Roman" w:cs="Times New Roman" w:eastAsiaTheme="minorEastAsia"/>
                <w:color w:val="000000"/>
                <w:sz w:val="24"/>
                <w:szCs w:val="24"/>
                <w:highlight w:val="none"/>
              </w:rPr>
              <w:t>主管科室</w:t>
            </w:r>
          </w:p>
        </w:tc>
        <w:tc>
          <w:tcPr>
            <w:tcW w:w="2472" w:type="dxa"/>
            <w:vAlign w:val="center"/>
          </w:tcPr>
          <w:p w14:paraId="67552E95">
            <w:pPr>
              <w:widowControl/>
              <w:spacing w:line="360" w:lineRule="auto"/>
              <w:jc w:val="center"/>
              <w:rPr>
                <w:rFonts w:hint="default" w:ascii="Times New Roman" w:hAnsi="Times New Roman" w:cs="Times New Roman" w:eastAsiaTheme="minorEastAsia"/>
                <w:color w:val="000000"/>
                <w:sz w:val="24"/>
                <w:szCs w:val="24"/>
                <w:highlight w:val="none"/>
              </w:rPr>
            </w:pPr>
            <w:r>
              <w:rPr>
                <w:rFonts w:hint="default" w:ascii="Times New Roman" w:hAnsi="Times New Roman" w:cs="Times New Roman" w:eastAsiaTheme="minorEastAsia"/>
                <w:color w:val="000000"/>
                <w:sz w:val="24"/>
                <w:szCs w:val="24"/>
                <w:highlight w:val="none"/>
              </w:rPr>
              <w:t>服务名称</w:t>
            </w:r>
          </w:p>
        </w:tc>
        <w:tc>
          <w:tcPr>
            <w:tcW w:w="1236" w:type="dxa"/>
            <w:vAlign w:val="center"/>
          </w:tcPr>
          <w:p w14:paraId="038CB8B5">
            <w:pPr>
              <w:widowControl/>
              <w:spacing w:line="360" w:lineRule="auto"/>
              <w:jc w:val="center"/>
              <w:rPr>
                <w:rFonts w:hint="default" w:ascii="Times New Roman" w:hAnsi="Times New Roman" w:cs="Times New Roman" w:eastAsiaTheme="minorEastAsia"/>
                <w:bCs/>
                <w:color w:val="000000"/>
                <w:sz w:val="24"/>
                <w:szCs w:val="24"/>
                <w:highlight w:val="none"/>
                <w:lang w:eastAsia="zh-CN"/>
              </w:rPr>
            </w:pPr>
            <w:r>
              <w:rPr>
                <w:rFonts w:hint="default" w:ascii="Times New Roman" w:hAnsi="Times New Roman" w:cs="Times New Roman" w:eastAsiaTheme="minorEastAsia"/>
                <w:bCs/>
                <w:color w:val="000000"/>
                <w:sz w:val="24"/>
                <w:szCs w:val="24"/>
                <w:highlight w:val="none"/>
              </w:rPr>
              <w:t>预算单价</w:t>
            </w:r>
            <w:r>
              <w:rPr>
                <w:rFonts w:hint="default" w:ascii="Times New Roman" w:hAnsi="Times New Roman" w:cs="Times New Roman" w:eastAsiaTheme="minorEastAsia"/>
                <w:bCs/>
                <w:color w:val="000000"/>
                <w:sz w:val="24"/>
                <w:szCs w:val="24"/>
                <w:highlight w:val="none"/>
                <w:lang w:eastAsia="zh-CN"/>
              </w:rPr>
              <w:t>（</w:t>
            </w:r>
            <w:r>
              <w:rPr>
                <w:rFonts w:hint="default" w:ascii="Times New Roman" w:hAnsi="Times New Roman" w:cs="Times New Roman" w:eastAsiaTheme="minorEastAsia"/>
                <w:bCs/>
                <w:color w:val="000000"/>
                <w:sz w:val="24"/>
                <w:szCs w:val="24"/>
                <w:highlight w:val="none"/>
                <w:lang w:val="en-US" w:eastAsia="zh-CN"/>
              </w:rPr>
              <w:t>万元</w:t>
            </w:r>
            <w:r>
              <w:rPr>
                <w:rFonts w:hint="default" w:ascii="Times New Roman" w:hAnsi="Times New Roman" w:cs="Times New Roman" w:eastAsiaTheme="minorEastAsia"/>
                <w:bCs/>
                <w:color w:val="000000"/>
                <w:sz w:val="24"/>
                <w:szCs w:val="24"/>
                <w:highlight w:val="none"/>
                <w:lang w:eastAsia="zh-CN"/>
              </w:rPr>
              <w:t>）</w:t>
            </w:r>
          </w:p>
        </w:tc>
        <w:tc>
          <w:tcPr>
            <w:tcW w:w="912" w:type="dxa"/>
            <w:vAlign w:val="center"/>
          </w:tcPr>
          <w:p w14:paraId="2E1554A7">
            <w:pPr>
              <w:widowControl/>
              <w:spacing w:line="360" w:lineRule="auto"/>
              <w:jc w:val="center"/>
              <w:rPr>
                <w:rFonts w:hint="default" w:ascii="Times New Roman" w:hAnsi="Times New Roman" w:cs="Times New Roman" w:eastAsiaTheme="minorEastAsia"/>
                <w:bCs/>
                <w:color w:val="000000"/>
                <w:sz w:val="24"/>
                <w:szCs w:val="24"/>
                <w:highlight w:val="none"/>
              </w:rPr>
            </w:pPr>
            <w:r>
              <w:rPr>
                <w:rFonts w:hint="default" w:ascii="Times New Roman" w:hAnsi="Times New Roman" w:cs="Times New Roman" w:eastAsiaTheme="minorEastAsia"/>
                <w:bCs/>
                <w:color w:val="000000"/>
                <w:sz w:val="24"/>
                <w:szCs w:val="24"/>
                <w:highlight w:val="none"/>
              </w:rPr>
              <w:t>数量</w:t>
            </w:r>
          </w:p>
        </w:tc>
        <w:tc>
          <w:tcPr>
            <w:tcW w:w="2365" w:type="dxa"/>
            <w:vAlign w:val="center"/>
          </w:tcPr>
          <w:p w14:paraId="0CCB4F12">
            <w:pPr>
              <w:widowControl/>
              <w:spacing w:line="360" w:lineRule="auto"/>
              <w:jc w:val="center"/>
              <w:rPr>
                <w:rFonts w:hint="default" w:ascii="Times New Roman" w:hAnsi="Times New Roman" w:cs="Times New Roman" w:eastAsiaTheme="minorEastAsia"/>
                <w:bCs/>
                <w:color w:val="000000"/>
                <w:sz w:val="24"/>
                <w:szCs w:val="24"/>
                <w:highlight w:val="none"/>
              </w:rPr>
            </w:pPr>
            <w:r>
              <w:rPr>
                <w:rFonts w:hint="default" w:ascii="Times New Roman" w:hAnsi="Times New Roman" w:cs="Times New Roman" w:eastAsiaTheme="minorEastAsia"/>
                <w:bCs/>
                <w:color w:val="000000"/>
                <w:sz w:val="24"/>
                <w:szCs w:val="24"/>
                <w:highlight w:val="none"/>
              </w:rPr>
              <w:t>预算金额（万元）</w:t>
            </w:r>
          </w:p>
        </w:tc>
      </w:tr>
      <w:tr w14:paraId="359BAF2F">
        <w:tblPrEx>
          <w:tblBorders>
            <w:top w:val="single" w:color="auto" w:sz="4" w:space="0"/>
            <w:left w:val="single" w:color="auto" w:sz="4" w:space="0"/>
            <w:bottom w:val="single" w:color="000000" w:sz="6"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77" w:type="dxa"/>
            <w:vAlign w:val="center"/>
          </w:tcPr>
          <w:p w14:paraId="72F3C666">
            <w:pPr>
              <w:widowControl/>
              <w:spacing w:line="360" w:lineRule="auto"/>
              <w:jc w:val="center"/>
              <w:rPr>
                <w:rFonts w:hint="default" w:ascii="Times New Roman" w:hAnsi="Times New Roman" w:cs="Times New Roman" w:eastAsiaTheme="minorEastAsia"/>
                <w:bCs/>
                <w:color w:val="000000"/>
                <w:sz w:val="24"/>
                <w:szCs w:val="24"/>
                <w:highlight w:val="none"/>
              </w:rPr>
            </w:pPr>
            <w:r>
              <w:rPr>
                <w:rFonts w:hint="default" w:ascii="Times New Roman" w:hAnsi="Times New Roman" w:cs="Times New Roman" w:eastAsiaTheme="minorEastAsia"/>
                <w:bCs/>
                <w:color w:val="000000"/>
                <w:sz w:val="24"/>
                <w:szCs w:val="24"/>
                <w:highlight w:val="none"/>
              </w:rPr>
              <w:t>1</w:t>
            </w:r>
          </w:p>
        </w:tc>
        <w:tc>
          <w:tcPr>
            <w:tcW w:w="1477" w:type="dxa"/>
            <w:vAlign w:val="center"/>
          </w:tcPr>
          <w:p w14:paraId="14907E96">
            <w:pPr>
              <w:widowControl/>
              <w:spacing w:line="360" w:lineRule="auto"/>
              <w:jc w:val="center"/>
              <w:rPr>
                <w:rFonts w:hint="default" w:ascii="Times New Roman" w:hAnsi="Times New Roman" w:cs="Times New Roman" w:eastAsiaTheme="minorEastAsia"/>
                <w:bCs/>
                <w:color w:val="000000"/>
                <w:sz w:val="24"/>
                <w:szCs w:val="24"/>
                <w:highlight w:val="none"/>
              </w:rPr>
            </w:pPr>
            <w:r>
              <w:rPr>
                <w:rFonts w:hint="default" w:ascii="Times New Roman" w:hAnsi="Times New Roman" w:cs="Times New Roman" w:eastAsiaTheme="minorEastAsia"/>
                <w:bCs/>
                <w:color w:val="000000"/>
                <w:sz w:val="24"/>
                <w:szCs w:val="24"/>
                <w:highlight w:val="none"/>
              </w:rPr>
              <w:t>后勤保障科</w:t>
            </w:r>
          </w:p>
        </w:tc>
        <w:tc>
          <w:tcPr>
            <w:tcW w:w="2472" w:type="dxa"/>
            <w:vAlign w:val="center"/>
          </w:tcPr>
          <w:p w14:paraId="3CD84E69">
            <w:pPr>
              <w:widowControl/>
              <w:spacing w:line="360" w:lineRule="auto"/>
              <w:jc w:val="center"/>
              <w:textAlignment w:val="auto"/>
              <w:rPr>
                <w:rFonts w:hint="default" w:ascii="Times New Roman" w:hAnsi="Times New Roman" w:cs="Times New Roman" w:eastAsiaTheme="minorEastAsia"/>
                <w:color w:val="000000"/>
                <w:kern w:val="0"/>
                <w:sz w:val="24"/>
                <w:szCs w:val="24"/>
                <w:highlight w:val="none"/>
                <w:lang w:bidi="ar"/>
              </w:rPr>
            </w:pPr>
            <w:r>
              <w:rPr>
                <w:rFonts w:hint="default" w:ascii="Times New Roman" w:hAnsi="Times New Roman" w:cs="Times New Roman" w:eastAsiaTheme="minorEastAsia"/>
                <w:bCs/>
                <w:color w:val="000000"/>
                <w:sz w:val="24"/>
                <w:szCs w:val="24"/>
                <w:highlight w:val="none"/>
                <w:lang w:val="en-US" w:eastAsia="zh-CN"/>
              </w:rPr>
              <w:t>番禺区中心医院综合应急大楼建设项目8#传染病科、发热门诊改造工程</w:t>
            </w:r>
            <w:r>
              <w:rPr>
                <w:rFonts w:hint="default" w:ascii="Times New Roman" w:hAnsi="Times New Roman" w:cs="Times New Roman" w:eastAsiaTheme="minorEastAsia"/>
                <w:b w:val="0"/>
                <w:bCs/>
                <w:color w:val="000000"/>
                <w:sz w:val="24"/>
                <w:szCs w:val="24"/>
                <w:highlight w:val="none"/>
              </w:rPr>
              <w:t>招标代理服务项目</w:t>
            </w:r>
          </w:p>
        </w:tc>
        <w:tc>
          <w:tcPr>
            <w:tcW w:w="1236" w:type="dxa"/>
            <w:vAlign w:val="center"/>
          </w:tcPr>
          <w:p w14:paraId="0FA68D93">
            <w:pPr>
              <w:widowControl/>
              <w:spacing w:line="360" w:lineRule="auto"/>
              <w:jc w:val="center"/>
              <w:textAlignment w:val="center"/>
              <w:rPr>
                <w:rFonts w:hint="default" w:ascii="Times New Roman" w:hAnsi="Times New Roman" w:cs="Times New Roman" w:eastAsiaTheme="minorEastAsia"/>
                <w:color w:val="000000"/>
                <w:kern w:val="0"/>
                <w:sz w:val="24"/>
                <w:szCs w:val="24"/>
                <w:highlight w:val="none"/>
                <w:lang w:bidi="ar"/>
              </w:rPr>
            </w:pPr>
            <w:r>
              <w:rPr>
                <w:rFonts w:hint="default" w:ascii="Times New Roman" w:hAnsi="Times New Roman" w:cs="Times New Roman" w:eastAsiaTheme="minorEastAsia"/>
                <w:color w:val="000000"/>
                <w:kern w:val="0"/>
                <w:sz w:val="24"/>
                <w:szCs w:val="24"/>
                <w:highlight w:val="none"/>
                <w:lang w:val="en-US" w:eastAsia="zh-CN" w:bidi="ar"/>
              </w:rPr>
              <w:t>19.83</w:t>
            </w:r>
          </w:p>
        </w:tc>
        <w:tc>
          <w:tcPr>
            <w:tcW w:w="912" w:type="dxa"/>
            <w:vAlign w:val="center"/>
          </w:tcPr>
          <w:p w14:paraId="79FCE0AB">
            <w:pPr>
              <w:widowControl/>
              <w:spacing w:line="360" w:lineRule="auto"/>
              <w:jc w:val="center"/>
              <w:textAlignment w:val="center"/>
              <w:rPr>
                <w:rFonts w:hint="default" w:ascii="Times New Roman" w:hAnsi="Times New Roman" w:cs="Times New Roman" w:eastAsiaTheme="minorEastAsia"/>
                <w:color w:val="000000"/>
                <w:kern w:val="0"/>
                <w:sz w:val="24"/>
                <w:szCs w:val="24"/>
                <w:highlight w:val="none"/>
                <w:lang w:bidi="ar"/>
              </w:rPr>
            </w:pPr>
            <w:r>
              <w:rPr>
                <w:rFonts w:hint="default" w:ascii="Times New Roman" w:hAnsi="Times New Roman" w:cs="Times New Roman" w:eastAsiaTheme="minorEastAsia"/>
                <w:color w:val="000000"/>
                <w:kern w:val="0"/>
                <w:sz w:val="24"/>
                <w:szCs w:val="24"/>
                <w:highlight w:val="none"/>
                <w:lang w:bidi="ar"/>
              </w:rPr>
              <w:t>1项</w:t>
            </w:r>
          </w:p>
        </w:tc>
        <w:tc>
          <w:tcPr>
            <w:tcW w:w="2365" w:type="dxa"/>
            <w:vAlign w:val="center"/>
          </w:tcPr>
          <w:p w14:paraId="377F5A93">
            <w:pPr>
              <w:widowControl/>
              <w:spacing w:line="360" w:lineRule="auto"/>
              <w:jc w:val="center"/>
              <w:textAlignment w:val="center"/>
              <w:rPr>
                <w:rFonts w:hint="default" w:ascii="Times New Roman" w:hAnsi="Times New Roman" w:cs="Times New Roman" w:eastAsiaTheme="minorEastAsia"/>
                <w:color w:val="000000"/>
                <w:kern w:val="0"/>
                <w:sz w:val="24"/>
                <w:szCs w:val="24"/>
                <w:highlight w:val="none"/>
                <w:lang w:bidi="ar"/>
              </w:rPr>
            </w:pPr>
            <w:r>
              <w:rPr>
                <w:rFonts w:hint="default" w:ascii="Times New Roman" w:hAnsi="Times New Roman" w:cs="Times New Roman" w:eastAsiaTheme="minorEastAsia"/>
                <w:bCs/>
                <w:color w:val="000000"/>
                <w:sz w:val="24"/>
                <w:szCs w:val="24"/>
                <w:highlight w:val="none"/>
                <w:lang w:val="en-US" w:eastAsia="zh-CN"/>
              </w:rPr>
              <w:t>19.83</w:t>
            </w:r>
          </w:p>
        </w:tc>
      </w:tr>
    </w:tbl>
    <w:p w14:paraId="6347DF62">
      <w:pPr>
        <w:spacing w:line="360" w:lineRule="auto"/>
        <w:ind w:firstLine="482" w:firstLineChars="200"/>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b/>
          <w:sz w:val="24"/>
          <w:szCs w:val="24"/>
          <w:highlight w:val="none"/>
        </w:rPr>
        <w:t>二、项目简介</w:t>
      </w:r>
    </w:p>
    <w:p w14:paraId="14D3EC3F">
      <w:pPr>
        <w:spacing w:line="360" w:lineRule="auto"/>
        <w:ind w:firstLine="480" w:firstLineChars="200"/>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i w:val="0"/>
          <w:iCs w:val="0"/>
          <w:caps w:val="0"/>
          <w:spacing w:val="0"/>
          <w:sz w:val="24"/>
          <w:szCs w:val="24"/>
          <w:highlight w:val="none"/>
          <w:shd w:val="clear"/>
          <w:lang w:val="en-US" w:eastAsia="zh-CN"/>
        </w:rPr>
        <w:t>建设项目介绍：</w:t>
      </w:r>
      <w:r>
        <w:rPr>
          <w:rFonts w:hint="default" w:ascii="Times New Roman" w:hAnsi="Times New Roman" w:cs="Times New Roman" w:eastAsiaTheme="minorEastAsia"/>
          <w:i w:val="0"/>
          <w:iCs w:val="0"/>
          <w:caps w:val="0"/>
          <w:spacing w:val="0"/>
          <w:sz w:val="24"/>
          <w:szCs w:val="24"/>
          <w:highlight w:val="none"/>
          <w:shd w:val="clear"/>
        </w:rPr>
        <w:t>番禺区中心医院</w:t>
      </w:r>
      <w:r>
        <w:rPr>
          <w:rFonts w:hint="default" w:ascii="Times New Roman" w:hAnsi="Times New Roman" w:cs="Times New Roman" w:eastAsiaTheme="minorEastAsia"/>
          <w:i w:val="0"/>
          <w:iCs w:val="0"/>
          <w:caps w:val="0"/>
          <w:spacing w:val="0"/>
          <w:sz w:val="24"/>
          <w:szCs w:val="24"/>
          <w:highlight w:val="none"/>
          <w:shd w:val="clear"/>
          <w:lang w:val="en-US" w:eastAsia="zh-CN"/>
        </w:rPr>
        <w:t>东北侧有一栋已建的</w:t>
      </w:r>
      <w:r>
        <w:rPr>
          <w:rFonts w:hint="default" w:ascii="Times New Roman" w:hAnsi="Times New Roman" w:cs="Times New Roman" w:eastAsiaTheme="minorEastAsia"/>
          <w:i w:val="0"/>
          <w:iCs w:val="0"/>
          <w:caps w:val="0"/>
          <w:spacing w:val="0"/>
          <w:sz w:val="24"/>
          <w:szCs w:val="24"/>
          <w:highlight w:val="none"/>
          <w:shd w:val="clear"/>
        </w:rPr>
        <w:t>传染病科、发热门诊楼</w:t>
      </w:r>
      <w:r>
        <w:rPr>
          <w:rFonts w:hint="default" w:ascii="Times New Roman" w:hAnsi="Times New Roman" w:cs="Times New Roman" w:eastAsiaTheme="minorEastAsia"/>
          <w:i w:val="0"/>
          <w:iCs w:val="0"/>
          <w:caps w:val="0"/>
          <w:spacing w:val="0"/>
          <w:sz w:val="24"/>
          <w:szCs w:val="24"/>
          <w:highlight w:val="none"/>
          <w:shd w:val="clear"/>
          <w:lang w:eastAsia="zh-CN"/>
        </w:rPr>
        <w:t>，</w:t>
      </w:r>
      <w:r>
        <w:rPr>
          <w:rFonts w:hint="default" w:ascii="Times New Roman" w:hAnsi="Times New Roman" w:cs="Times New Roman" w:eastAsiaTheme="minorEastAsia"/>
          <w:i w:val="0"/>
          <w:iCs w:val="0"/>
          <w:caps w:val="0"/>
          <w:spacing w:val="0"/>
          <w:sz w:val="24"/>
          <w:szCs w:val="24"/>
          <w:highlight w:val="none"/>
          <w:shd w:val="clear"/>
          <w:lang w:val="en-US" w:eastAsia="zh-CN"/>
        </w:rPr>
        <w:t>目前需进行改造。拟</w:t>
      </w:r>
      <w:r>
        <w:rPr>
          <w:rFonts w:hint="default" w:ascii="Times New Roman" w:hAnsi="Times New Roman" w:cs="Times New Roman" w:eastAsiaTheme="minorEastAsia"/>
          <w:i w:val="0"/>
          <w:iCs w:val="0"/>
          <w:caps w:val="0"/>
          <w:spacing w:val="0"/>
          <w:sz w:val="24"/>
          <w:szCs w:val="24"/>
          <w:highlight w:val="none"/>
          <w:shd w:val="clear"/>
        </w:rPr>
        <w:t>对</w:t>
      </w:r>
      <w:r>
        <w:rPr>
          <w:rFonts w:hint="eastAsia" w:cs="Times New Roman" w:eastAsiaTheme="minorEastAsia"/>
          <w:i w:val="0"/>
          <w:iCs w:val="0"/>
          <w:caps w:val="0"/>
          <w:spacing w:val="0"/>
          <w:sz w:val="24"/>
          <w:szCs w:val="24"/>
          <w:highlight w:val="none"/>
          <w:shd w:val="clear"/>
          <w:lang w:val="en-US" w:eastAsia="zh-CN"/>
        </w:rPr>
        <w:t>该</w:t>
      </w:r>
      <w:r>
        <w:rPr>
          <w:rFonts w:hint="default" w:ascii="Times New Roman" w:hAnsi="Times New Roman" w:cs="Times New Roman" w:eastAsiaTheme="minorEastAsia"/>
          <w:i w:val="0"/>
          <w:iCs w:val="0"/>
          <w:caps w:val="0"/>
          <w:spacing w:val="0"/>
          <w:sz w:val="24"/>
          <w:szCs w:val="24"/>
          <w:highlight w:val="none"/>
          <w:shd w:val="clear"/>
        </w:rPr>
        <w:t>楼</w:t>
      </w:r>
      <w:r>
        <w:rPr>
          <w:rFonts w:hint="eastAsia" w:cs="Times New Roman" w:eastAsiaTheme="minorEastAsia"/>
          <w:i w:val="0"/>
          <w:iCs w:val="0"/>
          <w:caps w:val="0"/>
          <w:spacing w:val="0"/>
          <w:sz w:val="24"/>
          <w:szCs w:val="24"/>
          <w:highlight w:val="none"/>
          <w:shd w:val="clear"/>
          <w:lang w:val="en-US" w:eastAsia="zh-CN"/>
        </w:rPr>
        <w:t>及其周边环境</w:t>
      </w:r>
      <w:r>
        <w:rPr>
          <w:rFonts w:hint="default" w:ascii="Times New Roman" w:hAnsi="Times New Roman" w:cs="Times New Roman" w:eastAsiaTheme="minorEastAsia"/>
          <w:i w:val="0"/>
          <w:iCs w:val="0"/>
          <w:caps w:val="0"/>
          <w:spacing w:val="0"/>
          <w:sz w:val="24"/>
          <w:szCs w:val="24"/>
          <w:highlight w:val="none"/>
          <w:shd w:val="clear"/>
        </w:rPr>
        <w:t>进行装修翻新，</w:t>
      </w:r>
      <w:r>
        <w:rPr>
          <w:rFonts w:hint="eastAsia" w:cs="Times New Roman" w:eastAsiaTheme="minorEastAsia"/>
          <w:i w:val="0"/>
          <w:iCs w:val="0"/>
          <w:caps w:val="0"/>
          <w:spacing w:val="0"/>
          <w:sz w:val="24"/>
          <w:szCs w:val="24"/>
          <w:highlight w:val="none"/>
          <w:shd w:val="clear"/>
          <w:lang w:val="en-US" w:eastAsia="zh-CN"/>
        </w:rPr>
        <w:t>楼栋</w:t>
      </w:r>
      <w:r>
        <w:rPr>
          <w:rFonts w:hint="default" w:ascii="Times New Roman" w:hAnsi="Times New Roman" w:cs="Times New Roman" w:eastAsiaTheme="minorEastAsia"/>
          <w:i w:val="0"/>
          <w:iCs w:val="0"/>
          <w:caps w:val="0"/>
          <w:spacing w:val="0"/>
          <w:sz w:val="24"/>
          <w:szCs w:val="24"/>
          <w:highlight w:val="none"/>
          <w:shd w:val="clear"/>
        </w:rPr>
        <w:t>建筑面积约</w:t>
      </w:r>
      <w:r>
        <w:rPr>
          <w:rFonts w:hint="default" w:ascii="Times New Roman" w:hAnsi="Times New Roman" w:cs="Times New Roman" w:eastAsiaTheme="minorEastAsia"/>
          <w:i w:val="0"/>
          <w:iCs w:val="0"/>
          <w:caps w:val="0"/>
          <w:spacing w:val="0"/>
          <w:sz w:val="24"/>
          <w:szCs w:val="24"/>
          <w:highlight w:val="none"/>
          <w:u w:val="none"/>
          <w:shd w:val="clear"/>
          <w:lang w:val="en-US"/>
        </w:rPr>
        <w:t>7000</w:t>
      </w:r>
      <w:r>
        <w:rPr>
          <w:rFonts w:hint="default" w:ascii="Times New Roman" w:hAnsi="Times New Roman" w:cs="Times New Roman" w:eastAsiaTheme="minorEastAsia"/>
          <w:i w:val="0"/>
          <w:iCs w:val="0"/>
          <w:caps w:val="0"/>
          <w:spacing w:val="0"/>
          <w:sz w:val="24"/>
          <w:szCs w:val="24"/>
          <w:highlight w:val="none"/>
          <w:shd w:val="clear"/>
        </w:rPr>
        <w:t>平方米。工程</w:t>
      </w:r>
      <w:r>
        <w:rPr>
          <w:rFonts w:hint="default" w:ascii="Times New Roman" w:hAnsi="Times New Roman" w:cs="Times New Roman" w:eastAsiaTheme="minorEastAsia"/>
          <w:i w:val="0"/>
          <w:iCs w:val="0"/>
          <w:caps w:val="0"/>
          <w:spacing w:val="0"/>
          <w:sz w:val="24"/>
          <w:szCs w:val="24"/>
          <w:highlight w:val="none"/>
          <w:shd w:val="clear"/>
          <w:lang w:val="en-US" w:eastAsia="zh-CN"/>
        </w:rPr>
        <w:t>内容</w:t>
      </w:r>
      <w:r>
        <w:rPr>
          <w:rFonts w:hint="default" w:ascii="Times New Roman" w:hAnsi="Times New Roman" w:cs="Times New Roman" w:eastAsiaTheme="minorEastAsia"/>
          <w:i w:val="0"/>
          <w:iCs w:val="0"/>
          <w:caps w:val="0"/>
          <w:spacing w:val="0"/>
          <w:sz w:val="24"/>
          <w:szCs w:val="24"/>
          <w:highlight w:val="none"/>
          <w:shd w:val="clear"/>
        </w:rPr>
        <w:t>包括但不限于装修、给排水、强弱电、空调通风、消防、智能化、医疗专项、</w:t>
      </w:r>
      <w:r>
        <w:rPr>
          <w:rFonts w:hint="default" w:ascii="Times New Roman" w:hAnsi="Times New Roman" w:cs="Times New Roman" w:eastAsiaTheme="minorEastAsia"/>
          <w:i w:val="0"/>
          <w:iCs w:val="0"/>
          <w:caps w:val="0"/>
          <w:spacing w:val="0"/>
          <w:sz w:val="24"/>
          <w:szCs w:val="24"/>
          <w:highlight w:val="none"/>
          <w:shd w:val="clear"/>
          <w:lang w:val="en-US" w:eastAsia="zh-CN"/>
        </w:rPr>
        <w:t>园林</w:t>
      </w:r>
      <w:r>
        <w:rPr>
          <w:rFonts w:hint="default" w:ascii="Times New Roman" w:hAnsi="Times New Roman" w:cs="Times New Roman" w:eastAsiaTheme="minorEastAsia"/>
          <w:i w:val="0"/>
          <w:iCs w:val="0"/>
          <w:caps w:val="0"/>
          <w:spacing w:val="0"/>
          <w:sz w:val="24"/>
          <w:szCs w:val="24"/>
          <w:highlight w:val="none"/>
          <w:shd w:val="clear"/>
        </w:rPr>
        <w:t>绿化等。以上</w:t>
      </w:r>
      <w:r>
        <w:rPr>
          <w:rFonts w:hint="default" w:ascii="Times New Roman" w:hAnsi="Times New Roman" w:cs="Times New Roman" w:eastAsiaTheme="minorEastAsia"/>
          <w:i w:val="0"/>
          <w:iCs w:val="0"/>
          <w:caps w:val="0"/>
          <w:spacing w:val="0"/>
          <w:sz w:val="24"/>
          <w:szCs w:val="24"/>
          <w:highlight w:val="none"/>
          <w:shd w:val="clear"/>
          <w:lang w:val="en-US" w:eastAsia="zh-CN"/>
        </w:rPr>
        <w:t>内容</w:t>
      </w:r>
      <w:r>
        <w:rPr>
          <w:rFonts w:hint="default" w:ascii="Times New Roman" w:hAnsi="Times New Roman" w:cs="Times New Roman" w:eastAsiaTheme="minorEastAsia"/>
          <w:i w:val="0"/>
          <w:iCs w:val="0"/>
          <w:caps w:val="0"/>
          <w:spacing w:val="0"/>
          <w:sz w:val="24"/>
          <w:szCs w:val="24"/>
          <w:highlight w:val="none"/>
          <w:shd w:val="clear"/>
        </w:rPr>
        <w:t>仅供参考。</w:t>
      </w:r>
    </w:p>
    <w:p w14:paraId="68C1584F">
      <w:pPr>
        <w:spacing w:line="360" w:lineRule="auto"/>
        <w:ind w:firstLine="480" w:firstLineChars="200"/>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现拟对本</w:t>
      </w:r>
      <w:r>
        <w:rPr>
          <w:rFonts w:hint="eastAsia" w:cs="Times New Roman" w:eastAsiaTheme="minorEastAsia"/>
          <w:sz w:val="24"/>
          <w:szCs w:val="24"/>
          <w:highlight w:val="none"/>
          <w:lang w:val="en-US" w:eastAsia="zh-CN"/>
        </w:rPr>
        <w:t>工程</w:t>
      </w:r>
      <w:r>
        <w:rPr>
          <w:rFonts w:hint="default" w:ascii="Times New Roman" w:hAnsi="Times New Roman" w:cs="Times New Roman" w:eastAsiaTheme="minorEastAsia"/>
          <w:sz w:val="24"/>
          <w:szCs w:val="24"/>
          <w:highlight w:val="none"/>
          <w:lang w:val="en-US" w:eastAsia="zh-CN"/>
        </w:rPr>
        <w:t>招标代理进行采购，要求招标代理依法组织</w:t>
      </w:r>
      <w:r>
        <w:rPr>
          <w:rFonts w:hint="default" w:ascii="Times New Roman" w:hAnsi="Times New Roman" w:cs="Times New Roman" w:eastAsiaTheme="minorEastAsia"/>
          <w:bCs/>
          <w:color w:val="000000"/>
          <w:sz w:val="24"/>
          <w:szCs w:val="24"/>
          <w:highlight w:val="none"/>
          <w:lang w:val="en-US" w:eastAsia="zh-CN"/>
        </w:rPr>
        <w:t>番禺区中心医院综合应急大楼建设项目8#传染病科、发热门诊改造工程</w:t>
      </w:r>
      <w:r>
        <w:rPr>
          <w:rFonts w:hint="default" w:ascii="Times New Roman" w:hAnsi="Times New Roman" w:cs="Times New Roman" w:eastAsiaTheme="minorEastAsia"/>
          <w:b w:val="0"/>
          <w:bCs w:val="0"/>
          <w:sz w:val="24"/>
          <w:szCs w:val="24"/>
          <w:highlight w:val="none"/>
          <w:lang w:val="en-US" w:eastAsia="zh-CN"/>
        </w:rPr>
        <w:t>招标</w:t>
      </w:r>
      <w:r>
        <w:rPr>
          <w:rFonts w:hint="eastAsia" w:cs="Times New Roman" w:eastAsiaTheme="minorEastAsia"/>
          <w:b w:val="0"/>
          <w:bCs w:val="0"/>
          <w:sz w:val="24"/>
          <w:szCs w:val="24"/>
          <w:highlight w:val="none"/>
          <w:lang w:val="en-US" w:eastAsia="zh-CN"/>
        </w:rPr>
        <w:t>，计划</w:t>
      </w:r>
      <w:r>
        <w:rPr>
          <w:rFonts w:hint="default" w:ascii="Times New Roman" w:hAnsi="Times New Roman" w:cs="Times New Roman" w:eastAsiaTheme="minorEastAsia"/>
          <w:b w:val="0"/>
          <w:bCs w:val="0"/>
          <w:sz w:val="24"/>
          <w:szCs w:val="24"/>
          <w:highlight w:val="none"/>
          <w:lang w:val="en-US" w:eastAsia="zh-CN"/>
        </w:rPr>
        <w:t>于2026年</w:t>
      </w:r>
      <w:r>
        <w:rPr>
          <w:rFonts w:hint="eastAsia" w:cs="Times New Roman" w:eastAsiaTheme="minorEastAsia"/>
          <w:b w:val="0"/>
          <w:bCs w:val="0"/>
          <w:sz w:val="24"/>
          <w:szCs w:val="24"/>
          <w:highlight w:val="none"/>
          <w:lang w:val="en-US" w:eastAsia="zh-CN"/>
        </w:rPr>
        <w:t>7</w:t>
      </w:r>
      <w:r>
        <w:rPr>
          <w:rFonts w:hint="default" w:ascii="Times New Roman" w:hAnsi="Times New Roman" w:cs="Times New Roman" w:eastAsiaTheme="minorEastAsia"/>
          <w:b w:val="0"/>
          <w:bCs w:val="0"/>
          <w:sz w:val="24"/>
          <w:szCs w:val="24"/>
          <w:highlight w:val="none"/>
          <w:lang w:val="en-US" w:eastAsia="zh-CN"/>
        </w:rPr>
        <w:t>月完成</w:t>
      </w:r>
      <w:r>
        <w:rPr>
          <w:rFonts w:hint="eastAsia" w:cs="Times New Roman" w:eastAsiaTheme="minorEastAsia"/>
          <w:b w:val="0"/>
          <w:bCs w:val="0"/>
          <w:sz w:val="24"/>
          <w:szCs w:val="24"/>
          <w:highlight w:val="none"/>
          <w:lang w:val="en-US" w:eastAsia="zh-CN"/>
        </w:rPr>
        <w:t>该</w:t>
      </w:r>
      <w:r>
        <w:rPr>
          <w:rFonts w:hint="default" w:ascii="Times New Roman" w:hAnsi="Times New Roman" w:cs="Times New Roman" w:eastAsiaTheme="minorEastAsia"/>
          <w:bCs/>
          <w:color w:val="000000"/>
          <w:sz w:val="24"/>
          <w:szCs w:val="24"/>
          <w:highlight w:val="none"/>
          <w:lang w:val="en-US" w:eastAsia="zh-CN"/>
        </w:rPr>
        <w:t>工程</w:t>
      </w:r>
      <w:r>
        <w:rPr>
          <w:rFonts w:hint="default" w:ascii="Times New Roman" w:hAnsi="Times New Roman" w:cs="Times New Roman" w:eastAsiaTheme="minorEastAsia"/>
          <w:b w:val="0"/>
          <w:bCs w:val="0"/>
          <w:sz w:val="24"/>
          <w:szCs w:val="24"/>
          <w:highlight w:val="none"/>
          <w:lang w:val="en-US" w:eastAsia="zh-CN"/>
        </w:rPr>
        <w:t>招标工作。</w:t>
      </w:r>
    </w:p>
    <w:p w14:paraId="5E97F109">
      <w:pPr>
        <w:spacing w:line="360" w:lineRule="auto"/>
        <w:ind w:firstLine="480" w:firstLineChars="200"/>
        <w:rPr>
          <w:rFonts w:hint="default" w:ascii="Times New Roman" w:hAnsi="Times New Roman" w:cs="Times New Roman" w:eastAsiaTheme="minorEastAsia"/>
          <w:sz w:val="24"/>
          <w:szCs w:val="24"/>
          <w:highlight w:val="none"/>
        </w:rPr>
      </w:pPr>
    </w:p>
    <w:p w14:paraId="417072DC">
      <w:pPr>
        <w:spacing w:line="360" w:lineRule="auto"/>
        <w:ind w:firstLine="480" w:firstLineChars="200"/>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资质要求：无。不接受联合体投标。</w:t>
      </w:r>
    </w:p>
    <w:p w14:paraId="7620D2E1">
      <w:pPr>
        <w:spacing w:line="360" w:lineRule="auto"/>
        <w:ind w:firstLine="480" w:firstLineChars="200"/>
        <w:rPr>
          <w:rFonts w:hint="default" w:ascii="Times New Roman" w:hAnsi="Times New Roman" w:cs="Times New Roman" w:eastAsiaTheme="minorEastAsia"/>
          <w:sz w:val="24"/>
          <w:szCs w:val="24"/>
          <w:highlight w:val="none"/>
        </w:rPr>
      </w:pPr>
    </w:p>
    <w:p w14:paraId="6BDC340B">
      <w:pPr>
        <w:pStyle w:val="10"/>
        <w:tabs>
          <w:tab w:val="left" w:pos="709"/>
        </w:tabs>
        <w:spacing w:line="360" w:lineRule="auto"/>
        <w:ind w:firstLine="422"/>
        <w:jc w:val="left"/>
        <w:rPr>
          <w:rFonts w:hint="default" w:ascii="Times New Roman" w:hAnsi="Times New Roman" w:cs="Times New Roman" w:eastAsiaTheme="minorEastAsia"/>
          <w:b/>
          <w:bCs/>
          <w:sz w:val="24"/>
          <w:szCs w:val="24"/>
          <w:highlight w:val="none"/>
        </w:rPr>
      </w:pPr>
      <w:r>
        <w:rPr>
          <w:rFonts w:hint="default" w:ascii="Times New Roman" w:hAnsi="Times New Roman" w:cs="Times New Roman" w:eastAsiaTheme="minorEastAsia"/>
          <w:b/>
          <w:bCs/>
          <w:sz w:val="24"/>
          <w:szCs w:val="24"/>
          <w:highlight w:val="none"/>
        </w:rPr>
        <w:t>三、报价范围的定义</w:t>
      </w:r>
    </w:p>
    <w:p w14:paraId="5E030DA0">
      <w:pPr>
        <w:spacing w:line="360" w:lineRule="auto"/>
        <w:ind w:firstLine="480" w:firstLineChars="200"/>
        <w:jc w:val="left"/>
        <w:rPr>
          <w:rFonts w:hint="default" w:ascii="Times New Roman" w:hAnsi="Times New Roman" w:cs="Times New Roman" w:eastAsiaTheme="minorEastAsia"/>
          <w:bCs/>
          <w:color w:val="000000"/>
          <w:sz w:val="24"/>
          <w:szCs w:val="24"/>
          <w:highlight w:val="none"/>
          <w:lang w:val="en-US" w:eastAsia="zh-CN"/>
        </w:rPr>
      </w:pPr>
      <w:r>
        <w:rPr>
          <w:rFonts w:hint="default" w:ascii="Times New Roman" w:hAnsi="Times New Roman" w:cs="Times New Roman" w:eastAsiaTheme="minorEastAsia"/>
          <w:bCs/>
          <w:color w:val="000000"/>
          <w:sz w:val="24"/>
          <w:szCs w:val="24"/>
          <w:highlight w:val="none"/>
          <w:lang w:val="en-US" w:eastAsia="zh-CN"/>
        </w:rPr>
        <w:t>供应商报服务费下浮率。（若本项目招标代理费成交价高于财政评审价，以财政评审价为准；若本项目招标代理费成交价低于财政评审价，则以本项目招标代理费成交价为准。）</w:t>
      </w:r>
    </w:p>
    <w:p w14:paraId="44E109FD">
      <w:pPr>
        <w:spacing w:line="360" w:lineRule="auto"/>
        <w:ind w:firstLine="480" w:firstLineChars="200"/>
        <w:rPr>
          <w:rFonts w:hint="default" w:ascii="Times New Roman" w:hAnsi="Times New Roman" w:cs="Times New Roman" w:eastAsiaTheme="minorEastAsia"/>
          <w:bCs/>
          <w:color w:val="000000"/>
          <w:sz w:val="24"/>
          <w:szCs w:val="24"/>
          <w:highlight w:val="yellow"/>
          <w:lang w:val="en-US" w:eastAsia="zh-CN"/>
        </w:rPr>
      </w:pPr>
      <w:r>
        <w:rPr>
          <w:rFonts w:hint="default" w:ascii="Times New Roman" w:hAnsi="Times New Roman" w:cs="Times New Roman" w:eastAsiaTheme="minorEastAsia"/>
          <w:bCs/>
          <w:color w:val="000000"/>
          <w:sz w:val="24"/>
          <w:szCs w:val="24"/>
          <w:highlight w:val="none"/>
          <w:lang w:val="en-US" w:eastAsia="zh-CN"/>
        </w:rPr>
        <w:t>结算价计价方式：工程招标的中标金额为基数，按照国家计委关于印发《招标代理服务收费管理暂行办法》计价格[2002]1980号文和发改</w:t>
      </w:r>
      <w:r>
        <w:rPr>
          <w:rFonts w:hint="eastAsia" w:cs="Times New Roman" w:eastAsiaTheme="minorEastAsia"/>
          <w:bCs/>
          <w:color w:val="000000"/>
          <w:sz w:val="24"/>
          <w:szCs w:val="24"/>
          <w:highlight w:val="none"/>
          <w:lang w:val="en-US" w:eastAsia="zh-CN"/>
        </w:rPr>
        <w:t>价格</w:t>
      </w:r>
      <w:r>
        <w:rPr>
          <w:rFonts w:hint="default" w:ascii="Times New Roman" w:hAnsi="Times New Roman" w:cs="Times New Roman" w:eastAsiaTheme="minorEastAsia"/>
          <w:bCs/>
          <w:color w:val="000000"/>
          <w:sz w:val="24"/>
          <w:szCs w:val="24"/>
          <w:highlight w:val="none"/>
          <w:lang w:val="en-US" w:eastAsia="zh-CN"/>
        </w:rPr>
        <w:t>[20</w:t>
      </w:r>
      <w:r>
        <w:rPr>
          <w:rFonts w:hint="default" w:cs="Times New Roman" w:eastAsiaTheme="minorEastAsia"/>
          <w:bCs/>
          <w:color w:val="000000"/>
          <w:sz w:val="24"/>
          <w:szCs w:val="24"/>
          <w:highlight w:val="none"/>
          <w:lang w:val="en-US" w:eastAsia="zh-CN"/>
        </w:rPr>
        <w:t>11</w:t>
      </w:r>
      <w:r>
        <w:rPr>
          <w:rFonts w:hint="default" w:ascii="Times New Roman" w:hAnsi="Times New Roman" w:cs="Times New Roman" w:eastAsiaTheme="minorEastAsia"/>
          <w:bCs/>
          <w:color w:val="000000"/>
          <w:sz w:val="24"/>
          <w:szCs w:val="24"/>
          <w:highlight w:val="none"/>
          <w:lang w:val="en-US" w:eastAsia="zh-CN"/>
        </w:rPr>
        <w:t>]534号的收费标准2025计算，下浮</w:t>
      </w:r>
      <w:r>
        <w:rPr>
          <w:rFonts w:hint="default" w:ascii="Times New Roman" w:hAnsi="Times New Roman" w:cs="Times New Roman" w:eastAsiaTheme="minorEastAsia"/>
          <w:bCs/>
          <w:color w:val="000000"/>
          <w:sz w:val="24"/>
          <w:szCs w:val="24"/>
          <w:highlight w:val="none"/>
          <w:u w:val="single"/>
          <w:lang w:val="en-US" w:eastAsia="zh-CN"/>
        </w:rPr>
        <w:t xml:space="preserve">   </w:t>
      </w:r>
      <w:r>
        <w:rPr>
          <w:rFonts w:hint="default" w:ascii="Times New Roman" w:hAnsi="Times New Roman" w:cs="Times New Roman" w:eastAsiaTheme="minorEastAsia"/>
          <w:bCs/>
          <w:color w:val="000000"/>
          <w:sz w:val="24"/>
          <w:szCs w:val="24"/>
          <w:highlight w:val="none"/>
          <w:lang w:val="en-US" w:eastAsia="zh-CN"/>
        </w:rPr>
        <w:t>后为本项目招标代理的最终报酬费。</w:t>
      </w:r>
      <w:r>
        <w:rPr>
          <w:rFonts w:hint="default" w:ascii="Times New Roman" w:hAnsi="Times New Roman" w:cs="Times New Roman" w:eastAsiaTheme="minorEastAsia"/>
          <w:bCs/>
          <w:color w:val="000000"/>
          <w:sz w:val="24"/>
          <w:szCs w:val="24"/>
          <w:highlight w:val="yellow"/>
          <w:lang w:val="en-US" w:eastAsia="zh-CN"/>
        </w:rPr>
        <w:t>本项目招标代理的最终结算费用以番禺区财政评审或甲方委托的第三方评审机构审定的金额为准。</w:t>
      </w:r>
    </w:p>
    <w:p w14:paraId="10ACB69D">
      <w:pPr>
        <w:pStyle w:val="10"/>
        <w:tabs>
          <w:tab w:val="left" w:pos="709"/>
        </w:tabs>
        <w:spacing w:line="360" w:lineRule="auto"/>
        <w:jc w:val="left"/>
        <w:rPr>
          <w:rFonts w:hint="default" w:ascii="Times New Roman" w:hAnsi="Times New Roman" w:cs="Times New Roman" w:eastAsiaTheme="minorEastAsia"/>
          <w:sz w:val="24"/>
          <w:szCs w:val="24"/>
          <w:highlight w:val="none"/>
        </w:rPr>
      </w:pPr>
      <w:r>
        <w:rPr>
          <w:rFonts w:hint="eastAsia" w:cs="Times New Roman" w:eastAsiaTheme="minorEastAsia"/>
          <w:sz w:val="24"/>
          <w:szCs w:val="24"/>
          <w:highlight w:val="none"/>
          <w:lang w:val="en-US" w:eastAsia="zh-CN"/>
        </w:rPr>
        <w:t>报价</w:t>
      </w:r>
      <w:r>
        <w:rPr>
          <w:rFonts w:hint="default" w:ascii="Times New Roman" w:hAnsi="Times New Roman" w:cs="Times New Roman" w:eastAsiaTheme="minorEastAsia"/>
          <w:sz w:val="24"/>
          <w:szCs w:val="24"/>
          <w:highlight w:val="none"/>
        </w:rPr>
        <w:t>含招标代理服务、招标文件制作费、整理招标全过程资料扫描件、纸质件归档、登报公告费、评标会务费、评标专家出席评标工程的差旅费及劳务费</w:t>
      </w:r>
      <w:r>
        <w:rPr>
          <w:rFonts w:hint="default" w:ascii="Times New Roman" w:hAnsi="Times New Roman"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rPr>
        <w:t>电子采购平台交易服务费、差旅费、税费等费用。</w:t>
      </w:r>
    </w:p>
    <w:p w14:paraId="546C226D">
      <w:pPr>
        <w:pStyle w:val="10"/>
        <w:tabs>
          <w:tab w:val="left" w:pos="709"/>
        </w:tabs>
        <w:spacing w:line="360" w:lineRule="auto"/>
        <w:ind w:firstLine="422"/>
        <w:jc w:val="left"/>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b/>
          <w:bCs/>
          <w:sz w:val="24"/>
          <w:szCs w:val="24"/>
          <w:highlight w:val="none"/>
        </w:rPr>
        <w:t>四、服务要求</w:t>
      </w:r>
    </w:p>
    <w:p w14:paraId="41AA0EF1">
      <w:pPr>
        <w:spacing w:line="360" w:lineRule="auto"/>
        <w:ind w:firstLine="480" w:firstLineChars="200"/>
        <w:jc w:val="left"/>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一）政策响应要求：应熟悉国家、省、市有关部门关于工程项目招标管理方面的法律、法规及相关政策。成交供应商应根据有关规定，科学、客观、公正地开展招标工作；同时按采购人的要求，按时按质按量提供招标过程资料，对招标过程的公平公正性负责，对资料的真实性、准确性负责，并负有保密责任。</w:t>
      </w:r>
    </w:p>
    <w:p w14:paraId="538461E0">
      <w:pPr>
        <w:spacing w:line="360" w:lineRule="auto"/>
        <w:ind w:firstLine="480" w:firstLineChars="200"/>
        <w:jc w:val="left"/>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lang w:val="en-US" w:eastAsia="zh-CN"/>
        </w:rPr>
        <w:t>二</w:t>
      </w:r>
      <w:r>
        <w:rPr>
          <w:rFonts w:hint="default" w:ascii="Times New Roman" w:hAnsi="Times New Roman"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lang w:val="en-US" w:eastAsia="zh-CN"/>
        </w:rPr>
        <w:t>供应商应具有同类项目经验，熟悉医疗机构工程招标情况，熟悉财政资金投资建设项目招标程序，能快速准确根据采购人需求编制工程招标文件。</w:t>
      </w:r>
    </w:p>
    <w:p w14:paraId="5D7AB0A9">
      <w:pPr>
        <w:spacing w:line="360" w:lineRule="auto"/>
        <w:ind w:firstLine="480" w:firstLineChars="200"/>
        <w:jc w:val="left"/>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w:t>
      </w:r>
      <w:r>
        <w:rPr>
          <w:rFonts w:hint="default" w:ascii="Times New Roman" w:hAnsi="Times New Roman" w:cs="Times New Roman" w:eastAsiaTheme="minorEastAsia"/>
          <w:sz w:val="24"/>
          <w:szCs w:val="24"/>
          <w:highlight w:val="none"/>
          <w:lang w:val="en-US" w:eastAsia="zh-CN"/>
        </w:rPr>
        <w:t>三</w:t>
      </w:r>
      <w:r>
        <w:rPr>
          <w:rFonts w:hint="default" w:ascii="Times New Roman" w:hAnsi="Times New Roman" w:cs="Times New Roman" w:eastAsiaTheme="minorEastAsia"/>
          <w:sz w:val="24"/>
          <w:szCs w:val="24"/>
          <w:highlight w:val="none"/>
        </w:rPr>
        <w:t>）招标代理服务工作内容包括但不限于</w:t>
      </w:r>
    </w:p>
    <w:p w14:paraId="361620CF">
      <w:pPr>
        <w:spacing w:line="360" w:lineRule="auto"/>
        <w:ind w:firstLine="480" w:firstLineChars="200"/>
        <w:jc w:val="left"/>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（1）拟定</w:t>
      </w:r>
      <w:r>
        <w:rPr>
          <w:rFonts w:hint="default" w:ascii="Times New Roman" w:hAnsi="Times New Roman" w:cs="Times New Roman" w:eastAsiaTheme="minorEastAsia"/>
          <w:sz w:val="24"/>
          <w:szCs w:val="24"/>
          <w:highlight w:val="none"/>
          <w:lang w:val="en-US" w:eastAsia="zh-CN"/>
        </w:rPr>
        <w:t>招标计划和招标</w:t>
      </w:r>
      <w:r>
        <w:rPr>
          <w:rFonts w:hint="default" w:ascii="Times New Roman" w:hAnsi="Times New Roman" w:cs="Times New Roman" w:eastAsiaTheme="minorEastAsia"/>
          <w:sz w:val="24"/>
          <w:szCs w:val="24"/>
          <w:highlight w:val="none"/>
        </w:rPr>
        <w:t>方案，</w:t>
      </w:r>
      <w:r>
        <w:rPr>
          <w:rFonts w:hint="default" w:ascii="Times New Roman" w:hAnsi="Times New Roman" w:cs="Times New Roman" w:eastAsiaTheme="minorEastAsia"/>
          <w:sz w:val="24"/>
          <w:szCs w:val="24"/>
          <w:highlight w:val="none"/>
          <w:lang w:val="en-US" w:eastAsia="zh-CN"/>
        </w:rPr>
        <w:t>对招标工作重点难点进行分析，</w:t>
      </w:r>
      <w:r>
        <w:rPr>
          <w:rFonts w:hint="default" w:ascii="Times New Roman" w:hAnsi="Times New Roman" w:cs="Times New Roman" w:eastAsiaTheme="minorEastAsia"/>
          <w:sz w:val="24"/>
          <w:szCs w:val="24"/>
          <w:highlight w:val="none"/>
        </w:rPr>
        <w:t>向采购人提供招标前期的咨询服务；</w:t>
      </w:r>
    </w:p>
    <w:p w14:paraId="3FE767A7">
      <w:pPr>
        <w:spacing w:line="360" w:lineRule="auto"/>
        <w:ind w:firstLine="480" w:firstLineChars="200"/>
        <w:jc w:val="left"/>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（2）根据该工程项目的特点和需要编制招标公告及招标文件，</w:t>
      </w:r>
      <w:r>
        <w:rPr>
          <w:rFonts w:hint="default" w:ascii="Times New Roman" w:hAnsi="Times New Roman" w:cs="Times New Roman" w:eastAsiaTheme="minorEastAsia"/>
          <w:sz w:val="24"/>
          <w:szCs w:val="24"/>
          <w:highlight w:val="none"/>
          <w:lang w:val="en-US" w:eastAsia="zh-CN"/>
        </w:rPr>
        <w:t>提出</w:t>
      </w:r>
      <w:r>
        <w:rPr>
          <w:rFonts w:hint="default" w:ascii="Times New Roman" w:hAnsi="Times New Roman" w:cs="Times New Roman" w:eastAsiaTheme="minorEastAsia"/>
          <w:sz w:val="24"/>
          <w:szCs w:val="24"/>
          <w:highlight w:val="none"/>
        </w:rPr>
        <w:t>投标申请人合格条件(资质、业绩等)的建议</w:t>
      </w:r>
      <w:r>
        <w:rPr>
          <w:rFonts w:hint="default" w:ascii="Times New Roman" w:hAnsi="Times New Roman"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rPr>
        <w:t>招标公告及招标文件的内容符合法律要求及有关规定；</w:t>
      </w:r>
    </w:p>
    <w:p w14:paraId="48808A1A">
      <w:pPr>
        <w:spacing w:line="360" w:lineRule="auto"/>
        <w:ind w:firstLine="480" w:firstLineChars="200"/>
        <w:jc w:val="left"/>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（3）招标公告及招标文件送审，送审过程中如采购人有修改意见的，成交供应商应按要求作修改完善；</w:t>
      </w:r>
    </w:p>
    <w:p w14:paraId="1647FDAF">
      <w:pPr>
        <w:spacing w:line="360" w:lineRule="auto"/>
        <w:ind w:firstLine="480" w:firstLineChars="200"/>
        <w:jc w:val="left"/>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（4）招标申请的报批（如需要）；</w:t>
      </w:r>
    </w:p>
    <w:p w14:paraId="68CE1986">
      <w:pPr>
        <w:spacing w:line="360" w:lineRule="auto"/>
        <w:ind w:firstLine="480" w:firstLineChars="200"/>
        <w:jc w:val="left"/>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（5）发布招标公告，发布或发售招标文件等招标相关资料；</w:t>
      </w:r>
    </w:p>
    <w:p w14:paraId="490B46DD">
      <w:pPr>
        <w:spacing w:line="360" w:lineRule="auto"/>
        <w:ind w:firstLine="480" w:firstLineChars="200"/>
        <w:jc w:val="left"/>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（6）组织标前投标人踏勘现场（如需要）、答疑；</w:t>
      </w:r>
    </w:p>
    <w:p w14:paraId="73CD9360">
      <w:pPr>
        <w:spacing w:line="360" w:lineRule="auto"/>
        <w:ind w:firstLine="480" w:firstLineChars="200"/>
        <w:jc w:val="left"/>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（7）按有关规定组织开标、评标、定标活动；协助采购人处理</w:t>
      </w:r>
      <w:r>
        <w:rPr>
          <w:rFonts w:hint="default" w:ascii="Times New Roman" w:hAnsi="Times New Roman" w:cs="Times New Roman" w:eastAsiaTheme="minorEastAsia"/>
          <w:sz w:val="24"/>
          <w:szCs w:val="24"/>
          <w:highlight w:val="none"/>
          <w:lang w:val="en-US" w:eastAsia="zh-CN"/>
        </w:rPr>
        <w:t>质疑</w:t>
      </w:r>
      <w:r>
        <w:rPr>
          <w:rFonts w:hint="default" w:ascii="Times New Roman" w:hAnsi="Times New Roman" w:cs="Times New Roman" w:eastAsiaTheme="minorEastAsia"/>
          <w:sz w:val="24"/>
          <w:szCs w:val="24"/>
          <w:highlight w:val="none"/>
        </w:rPr>
        <w:t>及投诉等事宜；</w:t>
      </w:r>
    </w:p>
    <w:p w14:paraId="6FA20B1E">
      <w:pPr>
        <w:spacing w:line="360" w:lineRule="auto"/>
        <w:ind w:firstLine="480" w:firstLineChars="200"/>
        <w:jc w:val="left"/>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w:t>
      </w:r>
      <w:r>
        <w:rPr>
          <w:rFonts w:hint="default" w:ascii="Times New Roman" w:hAnsi="Times New Roman" w:cs="Times New Roman" w:eastAsiaTheme="minorEastAsia"/>
          <w:sz w:val="24"/>
          <w:szCs w:val="24"/>
          <w:highlight w:val="none"/>
          <w:lang w:val="en-US" w:eastAsia="zh-CN"/>
        </w:rPr>
        <w:t>8</w:t>
      </w:r>
      <w:r>
        <w:rPr>
          <w:rFonts w:hint="default" w:ascii="Times New Roman" w:hAnsi="Times New Roman" w:cs="Times New Roman" w:eastAsiaTheme="minorEastAsia"/>
          <w:sz w:val="24"/>
          <w:szCs w:val="24"/>
          <w:highlight w:val="none"/>
        </w:rPr>
        <w:t>）</w:t>
      </w:r>
      <w:r>
        <w:rPr>
          <w:rFonts w:hint="default" w:ascii="Times New Roman" w:hAnsi="Times New Roman" w:cs="Times New Roman" w:eastAsiaTheme="minorEastAsia"/>
          <w:sz w:val="24"/>
          <w:szCs w:val="24"/>
          <w:highlight w:val="none"/>
          <w:lang w:val="en-US" w:eastAsia="zh-CN"/>
        </w:rPr>
        <w:t>发放中标通知书，招标过程资料档案汇编</w:t>
      </w:r>
      <w:r>
        <w:rPr>
          <w:rFonts w:hint="default" w:ascii="Times New Roman" w:hAnsi="Times New Roman" w:cs="Times New Roman" w:eastAsiaTheme="minorEastAsia"/>
          <w:sz w:val="24"/>
          <w:szCs w:val="24"/>
          <w:highlight w:val="none"/>
        </w:rPr>
        <w:t>：招标工作完成后，按采购人要求的套数提供招标代理全过程书面资料及电子文件（含招标文件备案资料、招标公告、招标文件、投标文件、开评标资料、中标公示、招</w:t>
      </w:r>
      <w:r>
        <w:rPr>
          <w:rFonts w:hint="default" w:ascii="Times New Roman" w:hAnsi="Times New Roman" w:cs="Times New Roman" w:eastAsiaTheme="minorEastAsia"/>
          <w:sz w:val="24"/>
          <w:szCs w:val="24"/>
          <w:highlight w:val="none"/>
          <w:u w:val="none"/>
        </w:rPr>
        <w:t>标</w:t>
      </w:r>
      <w:r>
        <w:rPr>
          <w:rFonts w:hint="default" w:ascii="Times New Roman" w:hAnsi="Times New Roman" w:cs="Times New Roman" w:eastAsiaTheme="minorEastAsia"/>
          <w:sz w:val="24"/>
          <w:szCs w:val="24"/>
          <w:highlight w:val="none"/>
        </w:rPr>
        <w:t>投标情况备案资料、中标通知书等）；</w:t>
      </w:r>
    </w:p>
    <w:p w14:paraId="2E4CF3B5">
      <w:pPr>
        <w:spacing w:line="360" w:lineRule="auto"/>
        <w:ind w:firstLine="480" w:firstLineChars="200"/>
        <w:jc w:val="left"/>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lang w:val="en-US" w:eastAsia="zh-CN"/>
        </w:rPr>
        <w:t>9</w:t>
      </w:r>
      <w:r>
        <w:rPr>
          <w:rFonts w:hint="default" w:ascii="Times New Roman" w:hAnsi="Times New Roman"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lang w:val="en-US" w:eastAsia="zh-CN"/>
        </w:rPr>
        <w:t>协助招标后工程合同的起草、谈判，配合项目审计工作并提供相关资料（如有）等工作。</w:t>
      </w:r>
    </w:p>
    <w:p w14:paraId="1A662A89">
      <w:pPr>
        <w:spacing w:line="360" w:lineRule="auto"/>
        <w:ind w:firstLine="480" w:firstLineChars="200"/>
        <w:jc w:val="left"/>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w:t>
      </w:r>
      <w:r>
        <w:rPr>
          <w:rFonts w:hint="default" w:ascii="Times New Roman" w:hAnsi="Times New Roman" w:cs="Times New Roman" w:eastAsiaTheme="minorEastAsia"/>
          <w:sz w:val="24"/>
          <w:szCs w:val="24"/>
          <w:highlight w:val="none"/>
          <w:lang w:val="en-US" w:eastAsia="zh-CN"/>
        </w:rPr>
        <w:t>10</w:t>
      </w:r>
      <w:r>
        <w:rPr>
          <w:rFonts w:hint="default" w:ascii="Times New Roman" w:hAnsi="Times New Roman" w:cs="Times New Roman" w:eastAsiaTheme="minorEastAsia"/>
          <w:sz w:val="24"/>
          <w:szCs w:val="24"/>
          <w:highlight w:val="none"/>
        </w:rPr>
        <w:t>）采购人委托的其他相关工作。</w:t>
      </w:r>
    </w:p>
    <w:p w14:paraId="59EE17D4">
      <w:pPr>
        <w:spacing w:line="360" w:lineRule="auto"/>
        <w:ind w:firstLine="480" w:firstLineChars="200"/>
        <w:jc w:val="left"/>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（三）服务响应要求：除需回避事项外，成交供应商在接到委托通知后 1 个工作日内与采购人联系接收资料。</w:t>
      </w:r>
      <w:r>
        <w:rPr>
          <w:rFonts w:hint="default" w:ascii="Times New Roman" w:hAnsi="Times New Roman" w:cs="Times New Roman" w:eastAsiaTheme="minorEastAsia"/>
          <w:sz w:val="24"/>
          <w:szCs w:val="24"/>
          <w:highlight w:val="none"/>
          <w:lang w:val="en-US" w:eastAsia="zh-CN"/>
        </w:rPr>
        <w:t>3</w:t>
      </w:r>
      <w:r>
        <w:rPr>
          <w:rFonts w:hint="default" w:ascii="Times New Roman" w:hAnsi="Times New Roman" w:cs="Times New Roman" w:eastAsiaTheme="minorEastAsia"/>
          <w:sz w:val="24"/>
          <w:szCs w:val="24"/>
          <w:highlight w:val="none"/>
        </w:rPr>
        <w:t>个工作日内完成招标文件</w:t>
      </w:r>
      <w:r>
        <w:rPr>
          <w:rFonts w:hint="eastAsia" w:cs="Times New Roman" w:eastAsiaTheme="minorEastAsia"/>
          <w:sz w:val="24"/>
          <w:szCs w:val="24"/>
          <w:highlight w:val="none"/>
          <w:lang w:val="en-US" w:eastAsia="zh-CN"/>
        </w:rPr>
        <w:t>初稿</w:t>
      </w:r>
      <w:r>
        <w:rPr>
          <w:rFonts w:hint="default" w:ascii="Times New Roman" w:hAnsi="Times New Roman" w:cs="Times New Roman" w:eastAsiaTheme="minorEastAsia"/>
          <w:sz w:val="24"/>
          <w:szCs w:val="24"/>
          <w:highlight w:val="none"/>
        </w:rPr>
        <w:t>编制；经采购人确认后，2个工作日内开展招标工作。成交供应商需向采购人提供招标计划、工作程序以及相关的招投标资料，并做好相关解释工作，经采购人审定后方可实施。</w:t>
      </w:r>
    </w:p>
    <w:p w14:paraId="72968FCB">
      <w:pPr>
        <w:spacing w:line="360" w:lineRule="auto"/>
        <w:ind w:firstLine="480" w:firstLineChars="200"/>
        <w:jc w:val="left"/>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（四）回避事项：若成交供应商曾就委托项目提供服务的，或有其他利害关系的，可能影响招标公正、公平的情形，不得作为该项目的招标代理机构，并应主动提供回避事项的证明文件交采购人。</w:t>
      </w:r>
    </w:p>
    <w:p w14:paraId="1F225F4A">
      <w:pPr>
        <w:spacing w:line="360" w:lineRule="auto"/>
        <w:ind w:firstLine="480" w:firstLineChars="200"/>
        <w:jc w:val="left"/>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五）提交招标过程资料的要求：招标过程所涉及的资料，招标所必须的全部招标资料，以及招标过程中产生的记录表、评分表等资料，应按招标项目建立档案，在移交招标过程资料的同时移交给采购人。整个项目的预算和招标的档案要完整，不能缺损。成交供应商需要在完成项目中标公示后，发出项目中标通知书的三个工作日内向采购人提交完整的纸质版及扫描电子版招标过程资料。</w:t>
      </w:r>
    </w:p>
    <w:p w14:paraId="45005C47">
      <w:pPr>
        <w:spacing w:line="360" w:lineRule="auto"/>
        <w:ind w:firstLine="480" w:firstLineChars="200"/>
        <w:jc w:val="left"/>
        <w:rPr>
          <w:rFonts w:hint="default" w:ascii="Times New Roman" w:hAnsi="Times New Roman" w:cs="Times New Roman" w:eastAsiaTheme="minorEastAsia"/>
          <w:sz w:val="24"/>
          <w:szCs w:val="24"/>
          <w:highlight w:val="none"/>
          <w:lang w:eastAsia="zh-CN"/>
        </w:rPr>
      </w:pPr>
      <w:r>
        <w:rPr>
          <w:rFonts w:hint="default" w:ascii="Times New Roman" w:hAnsi="Times New Roman" w:cs="Times New Roman" w:eastAsiaTheme="minorEastAsia"/>
          <w:sz w:val="24"/>
          <w:szCs w:val="24"/>
          <w:highlight w:val="none"/>
        </w:rPr>
        <w:t>（六）服务人员要求：供应商应提供不少于2名专业技术人员负责本项目的所有工作，项目负责人、主要人员的经验、能力应能够胜任所承担任务的组织、计划、协调工作并相对稳定。项目负责人需具备中级或以上职称</w:t>
      </w:r>
      <w:r>
        <w:rPr>
          <w:rFonts w:hint="default" w:ascii="Times New Roman" w:hAnsi="Times New Roman" w:cs="Times New Roman" w:eastAsiaTheme="minorEastAsia"/>
          <w:sz w:val="24"/>
          <w:szCs w:val="24"/>
          <w:highlight w:val="none"/>
          <w:lang w:eastAsia="zh-CN"/>
        </w:rPr>
        <w:t>。</w:t>
      </w:r>
    </w:p>
    <w:p w14:paraId="754203C1">
      <w:pPr>
        <w:spacing w:line="360" w:lineRule="auto"/>
        <w:ind w:firstLine="480" w:firstLineChars="200"/>
        <w:jc w:val="left"/>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（七）成交供应商不得擅自将受托项目转委托或分包给第三方承担，即成交供应商未经采购人同意禁止以任何形式将招标业务交由其他单位或个人。</w:t>
      </w:r>
    </w:p>
    <w:p w14:paraId="375BB1DC">
      <w:pPr>
        <w:spacing w:line="360" w:lineRule="auto"/>
        <w:ind w:firstLine="482" w:firstLineChars="200"/>
        <w:jc w:val="left"/>
        <w:rPr>
          <w:rFonts w:hint="default" w:ascii="Times New Roman" w:hAnsi="Times New Roman" w:cs="Times New Roman" w:eastAsiaTheme="minorEastAsia"/>
          <w:b/>
          <w:sz w:val="24"/>
          <w:szCs w:val="24"/>
          <w:highlight w:val="none"/>
        </w:rPr>
      </w:pPr>
      <w:r>
        <w:rPr>
          <w:rFonts w:hint="default" w:ascii="Times New Roman" w:hAnsi="Times New Roman" w:cs="Times New Roman" w:eastAsiaTheme="minorEastAsia"/>
          <w:b/>
          <w:sz w:val="24"/>
          <w:szCs w:val="24"/>
          <w:highlight w:val="none"/>
        </w:rPr>
        <w:t>五、商务要求</w:t>
      </w:r>
    </w:p>
    <w:p w14:paraId="2ED73323">
      <w:pPr>
        <w:spacing w:line="360" w:lineRule="auto"/>
        <w:ind w:firstLine="480" w:firstLineChars="200"/>
        <w:jc w:val="left"/>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w:t>
      </w:r>
      <w:r>
        <w:rPr>
          <w:rFonts w:hint="default" w:ascii="Times New Roman" w:hAnsi="Times New Roman" w:cs="Times New Roman" w:eastAsiaTheme="minorEastAsia"/>
          <w:sz w:val="24"/>
          <w:szCs w:val="24"/>
          <w:highlight w:val="none"/>
          <w:lang w:val="en-US" w:eastAsia="zh-CN"/>
        </w:rPr>
        <w:t>一</w:t>
      </w:r>
      <w:r>
        <w:rPr>
          <w:rFonts w:hint="default" w:ascii="Times New Roman" w:hAnsi="Times New Roman" w:cs="Times New Roman" w:eastAsiaTheme="minorEastAsia"/>
          <w:sz w:val="24"/>
          <w:szCs w:val="24"/>
          <w:highlight w:val="none"/>
        </w:rPr>
        <w:t>）验收标准：采购人项目负责人确认供应商已按要求提供服务成果材料视为该项服务已通过验收。</w:t>
      </w:r>
    </w:p>
    <w:p w14:paraId="5A658841">
      <w:pPr>
        <w:spacing w:line="360" w:lineRule="auto"/>
        <w:ind w:firstLine="480" w:firstLineChars="200"/>
        <w:jc w:val="left"/>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rPr>
        <w:t>（三）报价方式：</w:t>
      </w:r>
      <w:r>
        <w:rPr>
          <w:rFonts w:hint="default" w:ascii="Times New Roman" w:hAnsi="Times New Roman" w:cs="Times New Roman" w:eastAsiaTheme="minorEastAsia"/>
          <w:sz w:val="24"/>
          <w:szCs w:val="24"/>
          <w:highlight w:val="none"/>
          <w:lang w:val="en-US" w:eastAsia="zh-CN"/>
        </w:rPr>
        <w:t>报服务费下浮率。（若本项目招标代理费成交价高于财政评审价，以财政评审价为准；若本项目招标代理费成交价低于财政评审价，则以本项目招标代理费成交价为准。）</w:t>
      </w:r>
    </w:p>
    <w:p w14:paraId="39214DCB">
      <w:pPr>
        <w:spacing w:line="360" w:lineRule="auto"/>
        <w:ind w:firstLine="480" w:firstLineChars="200"/>
        <w:jc w:val="left"/>
        <w:rPr>
          <w:rFonts w:hint="default" w:ascii="Times New Roman" w:hAnsi="Times New Roman" w:cs="Times New Roman" w:eastAsiaTheme="minorEastAsia"/>
          <w:sz w:val="24"/>
          <w:szCs w:val="24"/>
          <w:highlight w:val="none"/>
          <w:lang w:val="en-US"/>
        </w:rPr>
      </w:pPr>
      <w:r>
        <w:rPr>
          <w:rFonts w:hint="default" w:ascii="Times New Roman" w:hAnsi="Times New Roman" w:cs="Times New Roman" w:eastAsiaTheme="minorEastAsia"/>
          <w:sz w:val="24"/>
          <w:szCs w:val="24"/>
          <w:highlight w:val="none"/>
          <w:lang w:val="en-US" w:eastAsia="zh-CN"/>
        </w:rPr>
        <w:t>结算价计价方式：工程招标的中标金额为基数，按照国家计委关于印发《招标代理服务收费管理暂行办法》计价格[2002]1980号文和发改价洛[20</w:t>
      </w:r>
      <w:r>
        <w:rPr>
          <w:rFonts w:hint="eastAsia" w:cs="Times New Roman" w:eastAsiaTheme="minorEastAsia"/>
          <w:sz w:val="24"/>
          <w:szCs w:val="24"/>
          <w:highlight w:val="none"/>
          <w:lang w:val="en-US" w:eastAsia="zh-CN"/>
        </w:rPr>
        <w:t>11</w:t>
      </w:r>
      <w:r>
        <w:rPr>
          <w:rFonts w:hint="default" w:ascii="Times New Roman" w:hAnsi="Times New Roman" w:cs="Times New Roman" w:eastAsiaTheme="minorEastAsia"/>
          <w:sz w:val="24"/>
          <w:szCs w:val="24"/>
          <w:highlight w:val="none"/>
          <w:lang w:val="en-US" w:eastAsia="zh-CN"/>
        </w:rPr>
        <w:t>]534号的收费标准2025计算，下浮</w:t>
      </w:r>
      <w:r>
        <w:rPr>
          <w:rFonts w:hint="default" w:ascii="Times New Roman" w:hAnsi="Times New Roman" w:cs="Times New Roman" w:eastAsiaTheme="minorEastAsia"/>
          <w:sz w:val="24"/>
          <w:szCs w:val="24"/>
          <w:highlight w:val="none"/>
          <w:u w:val="single"/>
          <w:lang w:val="en-US" w:eastAsia="zh-CN"/>
        </w:rPr>
        <w:t xml:space="preserve">   </w:t>
      </w:r>
      <w:r>
        <w:rPr>
          <w:rFonts w:hint="default" w:ascii="Times New Roman" w:hAnsi="Times New Roman" w:cs="Times New Roman" w:eastAsiaTheme="minorEastAsia"/>
          <w:sz w:val="24"/>
          <w:szCs w:val="24"/>
          <w:highlight w:val="none"/>
          <w:lang w:val="en-US" w:eastAsia="zh-CN"/>
        </w:rPr>
        <w:t>后为本项目招标代理的最终报酬费。本项目招标代理的最终结算费用以番禺区财政评审或甲方委托的第三方评审机构审定的金额为准。</w:t>
      </w:r>
      <w:bookmarkStart w:id="0" w:name="_GoBack"/>
      <w:bookmarkEnd w:id="0"/>
    </w:p>
    <w:p w14:paraId="0E5A59F2">
      <w:pPr>
        <w:numPr>
          <w:ilvl w:val="0"/>
          <w:numId w:val="1"/>
        </w:numPr>
        <w:spacing w:line="360" w:lineRule="auto"/>
        <w:ind w:firstLine="480" w:firstLineChars="200"/>
        <w:jc w:val="left"/>
        <w:rPr>
          <w:rFonts w:hint="default" w:ascii="Times New Roman" w:hAnsi="Times New Roman" w:cs="Times New Roman" w:eastAsiaTheme="minorEastAsia"/>
          <w:sz w:val="24"/>
          <w:szCs w:val="24"/>
          <w:highlight w:val="none"/>
          <w:lang w:eastAsia="zh-CN"/>
        </w:rPr>
      </w:pPr>
      <w:r>
        <w:rPr>
          <w:rFonts w:hint="default" w:ascii="Times New Roman" w:hAnsi="Times New Roman" w:cs="Times New Roman" w:eastAsiaTheme="minorEastAsia"/>
          <w:sz w:val="24"/>
          <w:szCs w:val="24"/>
          <w:highlight w:val="none"/>
        </w:rPr>
        <w:t>付款条件：成交供应商完成</w:t>
      </w:r>
      <w:r>
        <w:rPr>
          <w:rFonts w:hint="default" w:ascii="Times New Roman" w:hAnsi="Times New Roman" w:cs="Times New Roman" w:eastAsiaTheme="minorEastAsia"/>
          <w:sz w:val="24"/>
          <w:szCs w:val="24"/>
          <w:highlight w:val="none"/>
          <w:lang w:val="en-US" w:eastAsia="zh-CN"/>
        </w:rPr>
        <w:t>本项目</w:t>
      </w:r>
      <w:r>
        <w:rPr>
          <w:rFonts w:hint="default" w:ascii="Times New Roman" w:hAnsi="Times New Roman" w:cs="Times New Roman" w:eastAsiaTheme="minorEastAsia"/>
          <w:sz w:val="24"/>
          <w:szCs w:val="24"/>
          <w:highlight w:val="none"/>
        </w:rPr>
        <w:t>招标代理</w:t>
      </w:r>
      <w:r>
        <w:rPr>
          <w:rFonts w:hint="default" w:ascii="Times New Roman" w:hAnsi="Times New Roman" w:cs="Times New Roman" w:eastAsiaTheme="minorEastAsia"/>
          <w:sz w:val="24"/>
          <w:szCs w:val="24"/>
          <w:highlight w:val="none"/>
          <w:lang w:val="en-US" w:eastAsia="zh-CN"/>
        </w:rPr>
        <w:t>服务并将招标资料移交至采购人后，可提交</w:t>
      </w:r>
      <w:r>
        <w:rPr>
          <w:rFonts w:hint="default" w:ascii="Times New Roman" w:hAnsi="Times New Roman" w:cs="Times New Roman" w:eastAsiaTheme="minorEastAsia"/>
          <w:sz w:val="24"/>
          <w:szCs w:val="24"/>
          <w:highlight w:val="none"/>
        </w:rPr>
        <w:t>请款资料</w:t>
      </w:r>
      <w:r>
        <w:rPr>
          <w:rFonts w:hint="default" w:ascii="Times New Roman" w:hAnsi="Times New Roman" w:cs="Times New Roman" w:eastAsiaTheme="minorEastAsia"/>
          <w:sz w:val="24"/>
          <w:szCs w:val="24"/>
          <w:highlight w:val="none"/>
          <w:lang w:val="en-US" w:eastAsia="zh-CN"/>
        </w:rPr>
        <w:t>至</w:t>
      </w:r>
      <w:r>
        <w:rPr>
          <w:rFonts w:hint="default" w:ascii="Times New Roman" w:hAnsi="Times New Roman" w:cs="Times New Roman" w:eastAsiaTheme="minorEastAsia"/>
          <w:sz w:val="24"/>
          <w:szCs w:val="24"/>
          <w:highlight w:val="none"/>
        </w:rPr>
        <w:t>采购人。因本项目使用财政资金直接支付方式支付，由于财政资金拔款不到位而导致中标单位收款延期到账的，我院不承担违约责任，并且此情况不能成为中标单位不履行本合同约定义务的理由</w:t>
      </w:r>
      <w:r>
        <w:rPr>
          <w:rFonts w:hint="default" w:ascii="Times New Roman" w:hAnsi="Times New Roman" w:cs="Times New Roman" w:eastAsiaTheme="minorEastAsia"/>
          <w:sz w:val="24"/>
          <w:szCs w:val="24"/>
          <w:highlight w:val="none"/>
          <w:lang w:eastAsia="zh-CN"/>
        </w:rPr>
        <w:t>。</w:t>
      </w:r>
    </w:p>
    <w:p w14:paraId="5E9DC2FE">
      <w:pPr>
        <w:numPr>
          <w:ilvl w:val="-1"/>
          <w:numId w:val="0"/>
        </w:numPr>
        <w:spacing w:line="360" w:lineRule="auto"/>
        <w:ind w:firstLine="0" w:firstLineChars="0"/>
        <w:jc w:val="left"/>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 xml:space="preserve">     分</w:t>
      </w:r>
      <w:r>
        <w:rPr>
          <w:rFonts w:hint="eastAsia" w:cs="Times New Roman" w:eastAsiaTheme="minorEastAsia"/>
          <w:sz w:val="24"/>
          <w:szCs w:val="24"/>
          <w:highlight w:val="none"/>
          <w:lang w:val="en-US" w:eastAsia="zh-CN"/>
        </w:rPr>
        <w:t>批次</w:t>
      </w:r>
      <w:r>
        <w:rPr>
          <w:rFonts w:hint="default" w:ascii="Times New Roman" w:hAnsi="Times New Roman" w:cs="Times New Roman" w:eastAsiaTheme="minorEastAsia"/>
          <w:sz w:val="24"/>
          <w:szCs w:val="24"/>
          <w:highlight w:val="none"/>
          <w:lang w:val="en-US" w:eastAsia="zh-CN"/>
        </w:rPr>
        <w:t>支付。第一次支付：完成工程招标，出具中标通知书并按要求交齐招标过程资料后支付至结算价70%。</w:t>
      </w:r>
    </w:p>
    <w:p w14:paraId="49D3E4FF">
      <w:pPr>
        <w:numPr>
          <w:ilvl w:val="-1"/>
          <w:numId w:val="0"/>
        </w:numPr>
        <w:spacing w:line="360" w:lineRule="auto"/>
        <w:ind w:firstLine="0" w:firstLineChars="0"/>
        <w:jc w:val="left"/>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 xml:space="preserve">     第二次支付：</w:t>
      </w:r>
      <w:r>
        <w:rPr>
          <w:rFonts w:hint="default" w:cs="Times New Roman" w:eastAsiaTheme="minorEastAsia"/>
          <w:sz w:val="24"/>
          <w:szCs w:val="24"/>
          <w:highlight w:val="none"/>
          <w:lang w:eastAsia="zh-CN"/>
        </w:rPr>
        <w:t>支付至</w:t>
      </w:r>
      <w:r>
        <w:rPr>
          <w:rFonts w:hint="default" w:ascii="Times New Roman" w:hAnsi="Times New Roman" w:cs="Times New Roman" w:eastAsiaTheme="minorEastAsia"/>
          <w:sz w:val="24"/>
          <w:szCs w:val="24"/>
          <w:highlight w:val="none"/>
          <w:lang w:val="en-US" w:eastAsia="zh-CN"/>
        </w:rPr>
        <w:t>经番禺区财政评审或甲方委托的第三方评审机构审定的金额。</w:t>
      </w:r>
    </w:p>
    <w:p w14:paraId="0BCDFFAC">
      <w:pPr>
        <w:spacing w:line="360" w:lineRule="auto"/>
        <w:ind w:firstLine="480" w:firstLineChars="200"/>
        <w:jc w:val="left"/>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（六）请款资料：</w:t>
      </w:r>
    </w:p>
    <w:p w14:paraId="4B5264B6">
      <w:pPr>
        <w:spacing w:line="360" w:lineRule="auto"/>
        <w:ind w:firstLine="480" w:firstLineChars="200"/>
        <w:jc w:val="left"/>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（1）请款函；</w:t>
      </w:r>
    </w:p>
    <w:p w14:paraId="6AD0C68D">
      <w:pPr>
        <w:spacing w:line="360" w:lineRule="auto"/>
        <w:ind w:firstLine="480" w:firstLineChars="200"/>
        <w:jc w:val="left"/>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rPr>
        <w:t>（2）</w:t>
      </w:r>
      <w:r>
        <w:rPr>
          <w:rFonts w:hint="default" w:ascii="Times New Roman" w:hAnsi="Times New Roman" w:cs="Times New Roman" w:eastAsiaTheme="minorEastAsia"/>
          <w:sz w:val="24"/>
          <w:szCs w:val="24"/>
          <w:highlight w:val="none"/>
          <w:lang w:val="en-US" w:eastAsia="zh-CN"/>
        </w:rPr>
        <w:t>中标通知书；</w:t>
      </w:r>
    </w:p>
    <w:p w14:paraId="78905022">
      <w:pPr>
        <w:spacing w:line="360" w:lineRule="auto"/>
        <w:ind w:firstLine="480" w:firstLineChars="200"/>
        <w:jc w:val="left"/>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lang w:val="en-US" w:eastAsia="zh-CN"/>
        </w:rPr>
        <w:t>3</w:t>
      </w:r>
      <w:r>
        <w:rPr>
          <w:rFonts w:hint="default" w:ascii="Times New Roman" w:hAnsi="Times New Roman"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rPr>
        <w:t>符合法律法规及规范的成果文件:</w:t>
      </w:r>
    </w:p>
    <w:p w14:paraId="6280B20F">
      <w:pPr>
        <w:spacing w:line="360" w:lineRule="auto"/>
        <w:ind w:firstLine="480" w:firstLineChars="200"/>
        <w:jc w:val="left"/>
        <w:rPr>
          <w:rFonts w:hint="default" w:ascii="Times New Roman" w:hAnsi="Times New Roman" w:cs="Times New Roman" w:eastAsiaTheme="minorEastAsia"/>
          <w:sz w:val="24"/>
          <w:szCs w:val="24"/>
          <w:highlight w:val="none"/>
          <w:lang w:eastAsia="zh-CN"/>
        </w:rPr>
      </w:pPr>
      <w:r>
        <w:rPr>
          <w:rFonts w:hint="default" w:ascii="Times New Roman" w:hAnsi="Times New Roman" w:cs="Times New Roman" w:eastAsiaTheme="minorEastAsia"/>
          <w:sz w:val="24"/>
          <w:szCs w:val="24"/>
          <w:highlight w:val="none"/>
        </w:rPr>
        <w:t>（</w:t>
      </w:r>
      <w:r>
        <w:rPr>
          <w:rFonts w:hint="default" w:ascii="Times New Roman" w:hAnsi="Times New Roman" w:cs="Times New Roman" w:eastAsiaTheme="minorEastAsia"/>
          <w:sz w:val="24"/>
          <w:szCs w:val="24"/>
          <w:highlight w:val="none"/>
          <w:lang w:val="en-US" w:eastAsia="zh-CN"/>
        </w:rPr>
        <w:t>4</w:t>
      </w:r>
      <w:r>
        <w:rPr>
          <w:rFonts w:hint="default" w:ascii="Times New Roman" w:hAnsi="Times New Roman" w:cs="Times New Roman" w:eastAsiaTheme="minorEastAsia"/>
          <w:sz w:val="24"/>
          <w:szCs w:val="24"/>
          <w:highlight w:val="none"/>
        </w:rPr>
        <w:t>）等额发票</w:t>
      </w:r>
      <w:r>
        <w:rPr>
          <w:rFonts w:hint="default" w:ascii="Times New Roman" w:hAnsi="Times New Roman" w:cs="Times New Roman" w:eastAsiaTheme="minorEastAsia"/>
          <w:sz w:val="24"/>
          <w:szCs w:val="24"/>
          <w:highlight w:val="none"/>
          <w:lang w:eastAsia="zh-CN"/>
        </w:rPr>
        <w:t>；</w:t>
      </w:r>
    </w:p>
    <w:p w14:paraId="4E91DCA9">
      <w:pPr>
        <w:spacing w:line="360" w:lineRule="auto"/>
        <w:ind w:firstLine="480" w:firstLineChars="200"/>
        <w:jc w:val="left"/>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lang w:val="en-US" w:eastAsia="zh-CN"/>
        </w:rPr>
        <w:t>5</w:t>
      </w:r>
      <w:r>
        <w:rPr>
          <w:rFonts w:hint="default" w:ascii="Times New Roman" w:hAnsi="Times New Roman"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lang w:val="en-US" w:eastAsia="zh-CN"/>
        </w:rPr>
        <w:t>若财政资金支付有其他要求，成交供应商应按要求配合补充资料。</w:t>
      </w:r>
    </w:p>
    <w:p w14:paraId="39746564">
      <w:pPr>
        <w:spacing w:line="360" w:lineRule="auto"/>
        <w:ind w:firstLine="480" w:firstLineChars="200"/>
        <w:jc w:val="left"/>
        <w:rPr>
          <w:rFonts w:hint="default" w:ascii="Times New Roman" w:hAnsi="Times New Roman" w:cs="Times New Roman" w:eastAsiaTheme="minorEastAsia"/>
          <w:sz w:val="24"/>
          <w:szCs w:val="24"/>
          <w:highlight w:val="none"/>
        </w:rPr>
      </w:pPr>
    </w:p>
    <w:p w14:paraId="2C927A3A">
      <w:pPr>
        <w:jc w:val="left"/>
        <w:rPr>
          <w:rFonts w:hint="default" w:ascii="Times New Roman" w:hAnsi="Times New Roman" w:cs="Times New Roman" w:eastAsiaTheme="minorEastAsia"/>
          <w:sz w:val="24"/>
          <w:szCs w:val="24"/>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18ECC3"/>
    <w:multiLevelType w:val="singleLevel"/>
    <w:tmpl w:val="EB18ECC3"/>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E0YjQ3ZTNiMGU5ODMwMGM0YjEzOTQ4NzBiZmUwYjMifQ=="/>
    <w:docVar w:name="KGWebUrl" w:val="http://10.2.240.65:8888/seeyon/officeservlet"/>
  </w:docVars>
  <w:rsids>
    <w:rsidRoot w:val="4A26235F"/>
    <w:rsid w:val="00067C53"/>
    <w:rsid w:val="00252B92"/>
    <w:rsid w:val="003C79D1"/>
    <w:rsid w:val="005A7F78"/>
    <w:rsid w:val="00776D3E"/>
    <w:rsid w:val="007A43E6"/>
    <w:rsid w:val="008A4537"/>
    <w:rsid w:val="009D01BD"/>
    <w:rsid w:val="00CC1768"/>
    <w:rsid w:val="00DB0858"/>
    <w:rsid w:val="00ED3AE5"/>
    <w:rsid w:val="00F83304"/>
    <w:rsid w:val="01110B68"/>
    <w:rsid w:val="021248CD"/>
    <w:rsid w:val="02B97FD3"/>
    <w:rsid w:val="092A4407"/>
    <w:rsid w:val="0F092203"/>
    <w:rsid w:val="160C4CC7"/>
    <w:rsid w:val="1D2523A3"/>
    <w:rsid w:val="1D691B5C"/>
    <w:rsid w:val="2C823431"/>
    <w:rsid w:val="3D87AF40"/>
    <w:rsid w:val="3FED3FE8"/>
    <w:rsid w:val="4A26235F"/>
    <w:rsid w:val="4A9E90B4"/>
    <w:rsid w:val="4B2C15F4"/>
    <w:rsid w:val="4C434E41"/>
    <w:rsid w:val="5557499F"/>
    <w:rsid w:val="56E36785"/>
    <w:rsid w:val="57F557E9"/>
    <w:rsid w:val="58B6489F"/>
    <w:rsid w:val="5B77B32D"/>
    <w:rsid w:val="5C025EEB"/>
    <w:rsid w:val="5DEE1478"/>
    <w:rsid w:val="5F774257"/>
    <w:rsid w:val="5FDE5B4A"/>
    <w:rsid w:val="60CF6310"/>
    <w:rsid w:val="679152F2"/>
    <w:rsid w:val="6B130A44"/>
    <w:rsid w:val="6BD70DE9"/>
    <w:rsid w:val="6DEF5E6D"/>
    <w:rsid w:val="75BF1B1E"/>
    <w:rsid w:val="77FFB9F4"/>
    <w:rsid w:val="7DB0260D"/>
    <w:rsid w:val="7E7F4086"/>
    <w:rsid w:val="7FDF2DD6"/>
    <w:rsid w:val="7FFFD83A"/>
    <w:rsid w:val="BB5FDD1B"/>
    <w:rsid w:val="DF5C6478"/>
    <w:rsid w:val="E59F2972"/>
    <w:rsid w:val="F37D292C"/>
    <w:rsid w:val="FADF040E"/>
    <w:rsid w:val="FEF69BC8"/>
    <w:rsid w:val="FFAB0D79"/>
    <w:rsid w:val="FFEE665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1"/>
    <w:qFormat/>
    <w:uiPriority w:val="0"/>
    <w:pPr>
      <w:jc w:val="left"/>
    </w:pPr>
  </w:style>
  <w:style w:type="paragraph" w:styleId="3">
    <w:name w:val="Balloon Text"/>
    <w:basedOn w:val="1"/>
    <w:link w:val="13"/>
    <w:qFormat/>
    <w:uiPriority w:val="0"/>
    <w:rPr>
      <w:sz w:val="18"/>
      <w:szCs w:val="18"/>
    </w:rPr>
  </w:style>
  <w:style w:type="paragraph" w:styleId="4">
    <w:name w:val="footer"/>
    <w:basedOn w:val="1"/>
    <w:link w:val="15"/>
    <w:qFormat/>
    <w:uiPriority w:val="0"/>
    <w:pPr>
      <w:tabs>
        <w:tab w:val="center" w:pos="4153"/>
        <w:tab w:val="right" w:pos="8306"/>
      </w:tabs>
      <w:snapToGrid w:val="0"/>
      <w:jc w:val="left"/>
    </w:pPr>
    <w:rPr>
      <w:sz w:val="18"/>
      <w:szCs w:val="18"/>
    </w:rPr>
  </w:style>
  <w:style w:type="paragraph" w:styleId="5">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2"/>
    <w:qFormat/>
    <w:uiPriority w:val="0"/>
    <w:rPr>
      <w:b/>
      <w:bCs/>
    </w:rPr>
  </w:style>
  <w:style w:type="character" w:styleId="9">
    <w:name w:val="annotation reference"/>
    <w:basedOn w:val="8"/>
    <w:qFormat/>
    <w:uiPriority w:val="0"/>
    <w:rPr>
      <w:sz w:val="21"/>
      <w:szCs w:val="21"/>
    </w:rPr>
  </w:style>
  <w:style w:type="paragraph" w:styleId="10">
    <w:name w:val="List Paragraph"/>
    <w:basedOn w:val="1"/>
    <w:qFormat/>
    <w:uiPriority w:val="0"/>
    <w:pPr>
      <w:ind w:firstLine="420" w:firstLineChars="200"/>
    </w:pPr>
  </w:style>
  <w:style w:type="character" w:customStyle="1" w:styleId="11">
    <w:name w:val="批注文字 字符"/>
    <w:basedOn w:val="8"/>
    <w:link w:val="2"/>
    <w:qFormat/>
    <w:uiPriority w:val="0"/>
    <w:rPr>
      <w:kern w:val="2"/>
      <w:sz w:val="21"/>
    </w:rPr>
  </w:style>
  <w:style w:type="character" w:customStyle="1" w:styleId="12">
    <w:name w:val="批注主题 字符"/>
    <w:basedOn w:val="11"/>
    <w:link w:val="6"/>
    <w:qFormat/>
    <w:uiPriority w:val="0"/>
    <w:rPr>
      <w:b/>
      <w:bCs/>
      <w:kern w:val="2"/>
      <w:sz w:val="21"/>
    </w:rPr>
  </w:style>
  <w:style w:type="character" w:customStyle="1" w:styleId="13">
    <w:name w:val="批注框文本 字符"/>
    <w:basedOn w:val="8"/>
    <w:link w:val="3"/>
    <w:qFormat/>
    <w:uiPriority w:val="0"/>
    <w:rPr>
      <w:kern w:val="2"/>
      <w:sz w:val="18"/>
      <w:szCs w:val="18"/>
    </w:rPr>
  </w:style>
  <w:style w:type="character" w:customStyle="1" w:styleId="14">
    <w:name w:val="页眉 字符"/>
    <w:basedOn w:val="8"/>
    <w:link w:val="5"/>
    <w:qFormat/>
    <w:uiPriority w:val="0"/>
    <w:rPr>
      <w:kern w:val="2"/>
      <w:sz w:val="18"/>
      <w:szCs w:val="18"/>
    </w:rPr>
  </w:style>
  <w:style w:type="character" w:customStyle="1" w:styleId="15">
    <w:name w:val="页脚 字符"/>
    <w:basedOn w:val="8"/>
    <w:link w:val="4"/>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4B0BCD-8A84-4EEA-BF6D-FA1BC0D67C81}">
  <ds:schemaRefs/>
</ds:datastoreItem>
</file>

<file path=docProps/app.xml><?xml version="1.0" encoding="utf-8"?>
<Properties xmlns="http://schemas.openxmlformats.org/officeDocument/2006/extended-properties" xmlns:vt="http://schemas.openxmlformats.org/officeDocument/2006/docPropsVTypes">
  <Pages>4</Pages>
  <Words>2445</Words>
  <Characters>2505</Characters>
  <Lines>19</Lines>
  <Paragraphs>5</Paragraphs>
  <TotalTime>7</TotalTime>
  <ScaleCrop>false</ScaleCrop>
  <LinksUpToDate>false</LinksUpToDate>
  <CharactersWithSpaces>2523</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2023-09-13T02:06:00Z</dcterms:created>
  <dc:creator>Being</dc:creator>
  <cp:lastModifiedBy>黄碧莹</cp:lastModifiedBy>
  <dcterms:modified xsi:type="dcterms:W3CDTF">2026-04-21T01:26:42Z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C5A5DC60BA454876BB2845BC7F2B694B_11</vt:lpwstr>
  </property>
  <property fmtid="{D5CDD505-2E9C-101B-9397-08002B2CF9AE}" pid="4" name="KSOTemplateDocerSaveRecord">
    <vt:lpwstr>eyJoZGlkIjoiNWE0YjQ3ZTNiMGU5ODMwMGM0YjEzOTQ4NzBiZmUwYjMiLCJ1c2VySWQiOiIxODIwMzQ2ODAyIn0=</vt:lpwstr>
  </property>
</Properties>
</file>