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68F3F">
      <w:pPr>
        <w:spacing w:line="360" w:lineRule="auto"/>
        <w:jc w:val="center"/>
        <w:rPr>
          <w:rFonts w:hint="default" w:ascii="Times New Roman" w:hAnsi="Times New Roman" w:eastAsia="DejaVuSans" w:cs="Times New Roman"/>
          <w:color w:val="auto"/>
          <w:kern w:val="0"/>
          <w:sz w:val="36"/>
          <w:szCs w:val="36"/>
          <w:highlight w:val="none"/>
        </w:rPr>
      </w:pPr>
      <w:bookmarkStart w:id="0" w:name="_GoBack"/>
      <w:bookmarkEnd w:id="0"/>
      <w:r>
        <w:rPr>
          <w:rFonts w:hint="default" w:ascii="Times New Roman" w:hAnsi="Times New Roman" w:eastAsia="DejaVuSans" w:cs="Times New Roman"/>
          <w:color w:val="auto"/>
          <w:kern w:val="0"/>
          <w:sz w:val="36"/>
          <w:szCs w:val="36"/>
          <w:highlight w:val="none"/>
        </w:rPr>
        <w:t>广州医科大学附属番禺中心医院医疗集团</w:t>
      </w:r>
    </w:p>
    <w:p w14:paraId="674054C4">
      <w:pPr>
        <w:spacing w:line="360" w:lineRule="auto"/>
        <w:jc w:val="center"/>
        <w:rPr>
          <w:rFonts w:hint="default" w:ascii="Times New Roman" w:hAnsi="Times New Roman" w:eastAsia="宋体" w:cs="Times New Roman"/>
          <w:color w:val="auto"/>
          <w:kern w:val="0"/>
          <w:sz w:val="36"/>
          <w:szCs w:val="36"/>
          <w:highlight w:val="none"/>
        </w:rPr>
      </w:pPr>
      <w:r>
        <w:rPr>
          <w:rFonts w:ascii="Times New Roman" w:hAnsi="Times New Roman" w:eastAsia="DejaVuSans" w:cs="Times New Roman"/>
          <w:color w:val="auto"/>
          <w:kern w:val="0"/>
          <w:sz w:val="36"/>
          <w:szCs w:val="36"/>
          <w:highlight w:val="none"/>
        </w:rPr>
        <w:t>2026</w:t>
      </w:r>
      <w:r>
        <w:rPr>
          <w:rFonts w:hint="default" w:ascii="Times New Roman" w:hAnsi="Times New Roman" w:eastAsia="宋体" w:cs="Times New Roman"/>
          <w:color w:val="auto"/>
          <w:kern w:val="0"/>
          <w:sz w:val="36"/>
          <w:szCs w:val="36"/>
          <w:highlight w:val="none"/>
        </w:rPr>
        <w:t>年零星修缮项目用户需求书</w:t>
      </w:r>
    </w:p>
    <w:p w14:paraId="7A65257B">
      <w:pPr>
        <w:autoSpaceDE w:val="0"/>
        <w:autoSpaceDN w:val="0"/>
        <w:adjustRightInd w:val="0"/>
        <w:spacing w:line="360" w:lineRule="auto"/>
        <w:ind w:firstLine="482" w:firstLineChars="200"/>
        <w:jc w:val="left"/>
        <w:rPr>
          <w:rFonts w:hint="default" w:ascii="Times New Roman" w:hAnsi="Times New Roman" w:eastAsia="宋体" w:cs="Times New Roman"/>
          <w:b/>
          <w:color w:val="auto"/>
          <w:kern w:val="0"/>
          <w:sz w:val="24"/>
          <w:szCs w:val="24"/>
          <w:highlight w:val="none"/>
        </w:rPr>
      </w:pPr>
      <w:r>
        <w:rPr>
          <w:rFonts w:hint="default" w:ascii="Times New Roman" w:hAnsi="Times New Roman" w:eastAsia="宋体" w:cs="Times New Roman"/>
          <w:b/>
          <w:color w:val="auto"/>
          <w:kern w:val="0"/>
          <w:sz w:val="24"/>
          <w:szCs w:val="24"/>
          <w:highlight w:val="none"/>
        </w:rPr>
        <w:t>一、项目概况：</w:t>
      </w:r>
    </w:p>
    <w:p w14:paraId="46563A7F">
      <w:pPr>
        <w:pStyle w:val="12"/>
        <w:numPr>
          <w:ilvl w:val="0"/>
          <w:numId w:val="1"/>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项目类型：工程类。</w:t>
      </w:r>
    </w:p>
    <w:p w14:paraId="6E072991">
      <w:pPr>
        <w:pStyle w:val="12"/>
        <w:numPr>
          <w:ilvl w:val="0"/>
          <w:numId w:val="1"/>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项目名称：广州医科大学附属番禺中心医院医疗集团</w:t>
      </w:r>
      <w:r>
        <w:rPr>
          <w:rFonts w:ascii="Times New Roman" w:hAnsi="Times New Roman" w:eastAsia="DejaVuSans" w:cs="Times New Roman"/>
          <w:color w:val="auto"/>
          <w:kern w:val="0"/>
          <w:sz w:val="24"/>
          <w:szCs w:val="24"/>
          <w:highlight w:val="none"/>
        </w:rPr>
        <w:t>202</w:t>
      </w:r>
      <w:r>
        <w:rPr>
          <w:rFonts w:hint="default" w:ascii="Times New Roman" w:hAnsi="Times New Roman" w:eastAsia="DejaVuSans" w:cs="Times New Roman"/>
          <w:color w:val="auto"/>
          <w:kern w:val="0"/>
          <w:sz w:val="24"/>
          <w:szCs w:val="24"/>
          <w:highlight w:val="none"/>
        </w:rPr>
        <w:t>6</w:t>
      </w:r>
      <w:r>
        <w:rPr>
          <w:rFonts w:hint="default" w:ascii="Times New Roman" w:hAnsi="Times New Roman" w:eastAsia="宋体" w:cs="Times New Roman"/>
          <w:color w:val="auto"/>
          <w:kern w:val="0"/>
          <w:sz w:val="24"/>
          <w:szCs w:val="24"/>
          <w:highlight w:val="none"/>
        </w:rPr>
        <w:t>年零星修缮项目</w:t>
      </w:r>
    </w:p>
    <w:p w14:paraId="5C990664">
      <w:pPr>
        <w:pStyle w:val="12"/>
        <w:numPr>
          <w:ilvl w:val="0"/>
          <w:numId w:val="1"/>
        </w:numPr>
        <w:autoSpaceDE w:val="0"/>
        <w:autoSpaceDN w:val="0"/>
        <w:adjustRightInd w:val="0"/>
        <w:spacing w:line="360" w:lineRule="auto"/>
        <w:ind w:left="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采购人：广州医科大学附属番禺中心医院</w:t>
      </w:r>
    </w:p>
    <w:p w14:paraId="307F8887">
      <w:pPr>
        <w:pStyle w:val="12"/>
        <w:numPr>
          <w:ilvl w:val="0"/>
          <w:numId w:val="1"/>
        </w:numPr>
        <w:autoSpaceDE w:val="0"/>
        <w:autoSpaceDN w:val="0"/>
        <w:adjustRightInd w:val="0"/>
        <w:spacing w:line="360" w:lineRule="auto"/>
        <w:ind w:left="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项目实施地点：</w:t>
      </w:r>
      <w:r>
        <w:rPr>
          <w:rFonts w:hint="default" w:ascii="Times New Roman" w:hAnsi="Times New Roman" w:eastAsia="宋体" w:cs="Times New Roman"/>
          <w:color w:val="auto"/>
          <w:kern w:val="0"/>
          <w:sz w:val="24"/>
          <w:szCs w:val="24"/>
          <w:highlight w:val="none"/>
        </w:rPr>
        <w:t>广州医科大学附属番禺中心医院（</w:t>
      </w:r>
      <w:r>
        <w:rPr>
          <w:rFonts w:hint="default" w:ascii="Times New Roman" w:hAnsi="Times New Roman" w:eastAsia="宋体" w:cs="Times New Roman"/>
          <w:color w:val="auto"/>
          <w:kern w:val="0"/>
          <w:sz w:val="24"/>
          <w:szCs w:val="24"/>
          <w:highlight w:val="none"/>
        </w:rPr>
        <w:t>中心医院</w:t>
      </w:r>
      <w:r>
        <w:rPr>
          <w:rFonts w:hint="default" w:ascii="Times New Roman" w:hAnsi="Times New Roman" w:eastAsia="宋体" w:cs="Times New Roman"/>
          <w:color w:val="auto"/>
          <w:kern w:val="0"/>
          <w:sz w:val="24"/>
          <w:szCs w:val="24"/>
          <w:highlight w:val="none"/>
        </w:rPr>
        <w:t>）、广州市番禺区第七人民医院（</w:t>
      </w:r>
      <w:r>
        <w:rPr>
          <w:rFonts w:hint="default" w:ascii="Times New Roman" w:hAnsi="Times New Roman" w:eastAsia="宋体" w:cs="Times New Roman"/>
          <w:color w:val="auto"/>
          <w:kern w:val="0"/>
          <w:sz w:val="24"/>
          <w:szCs w:val="24"/>
          <w:highlight w:val="none"/>
        </w:rPr>
        <w:t>第七人民医院</w:t>
      </w:r>
      <w:r>
        <w:rPr>
          <w:rFonts w:hint="default" w:ascii="Times New Roman" w:hAnsi="Times New Roman" w:eastAsia="宋体" w:cs="Times New Roman"/>
          <w:color w:val="auto"/>
          <w:kern w:val="0"/>
          <w:sz w:val="24"/>
          <w:szCs w:val="24"/>
          <w:highlight w:val="none"/>
        </w:rPr>
        <w:t>）</w:t>
      </w:r>
    </w:p>
    <w:p w14:paraId="6A5D50FF">
      <w:pPr>
        <w:pStyle w:val="12"/>
        <w:numPr>
          <w:ilvl w:val="0"/>
          <w:numId w:val="1"/>
        </w:numPr>
        <w:autoSpaceDE w:val="0"/>
        <w:autoSpaceDN w:val="0"/>
        <w:adjustRightInd w:val="0"/>
        <w:spacing w:line="360" w:lineRule="auto"/>
        <w:ind w:left="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采购内容与分包</w:t>
      </w:r>
      <w:r>
        <w:rPr>
          <w:rFonts w:ascii="Times New Roman" w:hAnsi="Times New Roman" w:eastAsia="MS Gothic"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rPr>
        <w:t>：本项目共分为2个子包进行招标，兼投不兼中，采购2个不同的服务商提供零星修缮服务。采购人不对实际施工项目、数量、金额等给予任何性质的承诺，供应商应自行考虑相应的风险。项目按实际发生金额进行结算</w:t>
      </w:r>
      <w:r>
        <w:rPr>
          <w:rFonts w:hint="default" w:ascii="Times New Roman" w:hAnsi="Times New Roman" w:eastAsia="宋体" w:cs="Times New Roman"/>
          <w:color w:val="auto"/>
          <w:kern w:val="0"/>
          <w:sz w:val="24"/>
          <w:szCs w:val="24"/>
          <w:highlight w:val="none"/>
          <w:lang w:eastAsia="zh-CN"/>
        </w:rPr>
        <w:t>。</w:t>
      </w:r>
    </w:p>
    <w:p w14:paraId="0B9490BD">
      <w:pPr>
        <w:pStyle w:val="12"/>
        <w:numPr>
          <w:ilvl w:val="0"/>
          <w:numId w:val="1"/>
        </w:numPr>
        <w:autoSpaceDE w:val="0"/>
        <w:autoSpaceDN w:val="0"/>
        <w:adjustRightInd w:val="0"/>
        <w:spacing w:line="360" w:lineRule="auto"/>
        <w:ind w:left="0" w:firstLine="420" w:firstLineChars="0"/>
        <w:jc w:val="left"/>
        <w:rPr>
          <w:rFonts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项目采购预算：565万元。</w:t>
      </w:r>
    </w:p>
    <w:p w14:paraId="28F9116F">
      <w:pPr>
        <w:spacing w:line="360" w:lineRule="auto"/>
        <w:ind w:firstLine="480" w:firstLineChars="200"/>
        <w:rPr>
          <w:rFonts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1、子包一：预算</w:t>
      </w:r>
      <w:r>
        <w:rPr>
          <w:rFonts w:hint="default" w:ascii="Times New Roman" w:hAnsi="Times New Roman" w:eastAsia="宋体" w:cs="Times New Roman"/>
          <w:color w:val="auto"/>
          <w:kern w:val="0"/>
          <w:sz w:val="24"/>
          <w:szCs w:val="24"/>
          <w:highlight w:val="none"/>
          <w:lang w:val="en-US" w:eastAsia="zh-CN"/>
        </w:rPr>
        <w:t>285</w:t>
      </w:r>
      <w:r>
        <w:rPr>
          <w:rFonts w:hint="default" w:ascii="Times New Roman" w:hAnsi="Times New Roman" w:eastAsia="宋体" w:cs="Times New Roman"/>
          <w:color w:val="auto"/>
          <w:kern w:val="0"/>
          <w:sz w:val="24"/>
          <w:szCs w:val="24"/>
          <w:highlight w:val="none"/>
        </w:rPr>
        <w:t>万元（</w:t>
      </w:r>
      <w:r>
        <w:rPr>
          <w:rFonts w:hint="default" w:ascii="Times New Roman" w:hAnsi="Times New Roman" w:eastAsia="宋体" w:cs="Times New Roman"/>
          <w:color w:val="auto"/>
          <w:kern w:val="0"/>
          <w:sz w:val="24"/>
          <w:szCs w:val="24"/>
          <w:highlight w:val="none"/>
        </w:rPr>
        <w:t>中心医院</w:t>
      </w:r>
      <w:r>
        <w:rPr>
          <w:rFonts w:hint="default" w:ascii="Times New Roman" w:hAnsi="Times New Roman"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eastAsia="zh-CN"/>
        </w:rPr>
        <w:t>85</w:t>
      </w:r>
      <w:r>
        <w:rPr>
          <w:rFonts w:hint="default" w:ascii="Times New Roman" w:hAnsi="Times New Roman" w:eastAsia="宋体" w:cs="Times New Roman"/>
          <w:color w:val="auto"/>
          <w:kern w:val="0"/>
          <w:sz w:val="24"/>
          <w:szCs w:val="24"/>
          <w:highlight w:val="none"/>
          <w:lang w:val="en-US" w:eastAsia="zh-CN"/>
        </w:rPr>
        <w:t>万元</w:t>
      </w:r>
      <w:r>
        <w:rPr>
          <w:rFonts w:hint="default" w:ascii="Times New Roman" w:hAnsi="Times New Roman" w:cs="Times New Roman" w:eastAsiaTheme="minorEastAsia"/>
          <w:color w:val="auto"/>
          <w:kern w:val="0"/>
          <w:sz w:val="24"/>
          <w:szCs w:val="24"/>
          <w:highlight w:val="none"/>
        </w:rPr>
        <w:t>）</w:t>
      </w:r>
      <w:r>
        <w:rPr>
          <w:rFonts w:hint="default" w:ascii="Times New Roman" w:hAnsi="Times New Roman" w:eastAsia="宋体" w:cs="Times New Roman"/>
          <w:color w:val="auto"/>
          <w:kern w:val="0"/>
          <w:sz w:val="24"/>
          <w:szCs w:val="24"/>
          <w:highlight w:val="none"/>
        </w:rPr>
        <w:t>，负责</w:t>
      </w:r>
      <w:r>
        <w:rPr>
          <w:rFonts w:hint="default" w:ascii="Times New Roman" w:hAnsi="Times New Roman" w:eastAsia="宋体" w:cs="Times New Roman"/>
          <w:color w:val="auto"/>
          <w:kern w:val="0"/>
          <w:sz w:val="24"/>
          <w:szCs w:val="24"/>
          <w:highlight w:val="none"/>
        </w:rPr>
        <w:t>中心医院</w:t>
      </w:r>
      <w:r>
        <w:rPr>
          <w:rFonts w:hint="default" w:ascii="Times New Roman" w:hAnsi="Times New Roman" w:eastAsia="宋体" w:cs="Times New Roman"/>
          <w:color w:val="auto"/>
          <w:kern w:val="0"/>
          <w:sz w:val="24"/>
          <w:szCs w:val="24"/>
          <w:highlight w:val="none"/>
        </w:rPr>
        <w:t>的零星修缮；</w:t>
      </w:r>
    </w:p>
    <w:p w14:paraId="6108C7F2">
      <w:pPr>
        <w:spacing w:line="360" w:lineRule="auto"/>
        <w:ind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2、子包二：预算2</w:t>
      </w:r>
      <w:r>
        <w:rPr>
          <w:rFonts w:hint="default" w:ascii="Times New Roman" w:hAnsi="Times New Roman" w:eastAsia="宋体" w:cs="Times New Roman"/>
          <w:color w:val="auto"/>
          <w:kern w:val="0"/>
          <w:sz w:val="24"/>
          <w:szCs w:val="24"/>
          <w:highlight w:val="none"/>
          <w:lang w:val="en-US" w:eastAsia="zh-CN"/>
        </w:rPr>
        <w:t>80</w:t>
      </w:r>
      <w:r>
        <w:rPr>
          <w:rFonts w:hint="default" w:ascii="Times New Roman" w:hAnsi="Times New Roman" w:eastAsia="宋体" w:cs="Times New Roman"/>
          <w:color w:val="auto"/>
          <w:kern w:val="0"/>
          <w:sz w:val="24"/>
          <w:szCs w:val="24"/>
          <w:highlight w:val="none"/>
        </w:rPr>
        <w:t>万元（其中</w:t>
      </w:r>
      <w:r>
        <w:rPr>
          <w:rFonts w:hint="default" w:ascii="Times New Roman" w:hAnsi="Times New Roman" w:eastAsia="宋体" w:cs="Times New Roman"/>
          <w:color w:val="auto"/>
          <w:kern w:val="0"/>
          <w:sz w:val="24"/>
          <w:szCs w:val="24"/>
          <w:highlight w:val="none"/>
        </w:rPr>
        <w:t>中心医院</w:t>
      </w:r>
      <w:r>
        <w:rPr>
          <w:rFonts w:hint="default" w:ascii="Times New Roman" w:hAnsi="Times New Roman"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eastAsia="zh-CN"/>
        </w:rPr>
        <w:t>50</w:t>
      </w:r>
      <w:r>
        <w:rPr>
          <w:rFonts w:hint="default" w:ascii="Times New Roman" w:hAnsi="Times New Roman" w:eastAsia="宋体" w:cs="Times New Roman"/>
          <w:color w:val="auto"/>
          <w:kern w:val="0"/>
          <w:sz w:val="24"/>
          <w:szCs w:val="24"/>
          <w:highlight w:val="none"/>
        </w:rPr>
        <w:t>万元，</w:t>
      </w:r>
      <w:r>
        <w:rPr>
          <w:rFonts w:hint="default" w:ascii="Times New Roman" w:hAnsi="Times New Roman" w:eastAsia="宋体" w:cs="Times New Roman"/>
          <w:color w:val="auto"/>
          <w:kern w:val="0"/>
          <w:sz w:val="24"/>
          <w:szCs w:val="24"/>
          <w:highlight w:val="none"/>
        </w:rPr>
        <w:t>第七人民医院</w:t>
      </w:r>
      <w:r>
        <w:rPr>
          <w:rFonts w:hint="default" w:ascii="Times New Roman" w:hAnsi="Times New Roman" w:eastAsia="宋体" w:cs="Times New Roman"/>
          <w:color w:val="auto"/>
          <w:kern w:val="0"/>
          <w:sz w:val="24"/>
          <w:szCs w:val="24"/>
          <w:highlight w:val="none"/>
          <w:lang w:val="en-US" w:eastAsia="zh-CN"/>
        </w:rPr>
        <w:t>30</w:t>
      </w:r>
      <w:r>
        <w:rPr>
          <w:rFonts w:hint="default" w:ascii="Times New Roman" w:hAnsi="Times New Roman" w:eastAsia="宋体" w:cs="Times New Roman"/>
          <w:color w:val="auto"/>
          <w:kern w:val="0"/>
          <w:sz w:val="24"/>
          <w:szCs w:val="24"/>
          <w:highlight w:val="none"/>
        </w:rPr>
        <w:t>万元），负责</w:t>
      </w:r>
      <w:r>
        <w:rPr>
          <w:rFonts w:hint="default" w:ascii="Times New Roman" w:hAnsi="Times New Roman" w:eastAsia="宋体" w:cs="Times New Roman"/>
          <w:color w:val="auto"/>
          <w:kern w:val="0"/>
          <w:sz w:val="24"/>
          <w:szCs w:val="24"/>
          <w:highlight w:val="none"/>
        </w:rPr>
        <w:t>中心医院</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第七人民医院</w:t>
      </w:r>
      <w:r>
        <w:rPr>
          <w:rFonts w:hint="default" w:ascii="Times New Roman" w:hAnsi="Times New Roman" w:eastAsia="宋体" w:cs="Times New Roman"/>
          <w:color w:val="auto"/>
          <w:kern w:val="0"/>
          <w:sz w:val="24"/>
          <w:szCs w:val="24"/>
          <w:highlight w:val="none"/>
        </w:rPr>
        <w:t>的零星修缮。</w:t>
      </w:r>
    </w:p>
    <w:p w14:paraId="10865174">
      <w:pPr>
        <w:pStyle w:val="12"/>
        <w:numPr>
          <w:ilvl w:val="0"/>
          <w:numId w:val="1"/>
        </w:numPr>
        <w:autoSpaceDE w:val="0"/>
        <w:autoSpaceDN w:val="0"/>
        <w:adjustRightInd w:val="0"/>
        <w:spacing w:line="360" w:lineRule="auto"/>
        <w:ind w:left="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本采购包不接受联合体响应，不允许合同分包</w:t>
      </w:r>
      <w:r>
        <w:rPr>
          <w:rFonts w:hint="default" w:ascii="Times New Roman" w:hAnsi="Times New Roman" w:eastAsia="宋体" w:cs="Times New Roman"/>
          <w:color w:val="auto"/>
          <w:kern w:val="0"/>
          <w:sz w:val="24"/>
          <w:szCs w:val="24"/>
          <w:highlight w:val="none"/>
          <w:lang w:eastAsia="zh-CN"/>
        </w:rPr>
        <w:t>。</w:t>
      </w:r>
    </w:p>
    <w:p w14:paraId="004DD65B">
      <w:pPr>
        <w:pStyle w:val="12"/>
        <w:numPr>
          <w:ilvl w:val="0"/>
          <w:numId w:val="1"/>
        </w:numPr>
        <w:autoSpaceDE w:val="0"/>
        <w:autoSpaceDN w:val="0"/>
        <w:adjustRightInd w:val="0"/>
        <w:spacing w:line="360" w:lineRule="auto"/>
        <w:ind w:left="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报价：</w:t>
      </w:r>
      <w:r>
        <w:rPr>
          <w:rFonts w:ascii="Times New Roman" w:hAnsi="Times New Roman" w:eastAsia="宋体" w:cs="Times New Roman"/>
          <w:color w:val="auto"/>
          <w:kern w:val="0"/>
          <w:sz w:val="24"/>
          <w:szCs w:val="24"/>
          <w:highlight w:val="none"/>
        </w:rPr>
        <w:t>报出</w:t>
      </w:r>
      <w:r>
        <w:rPr>
          <w:rFonts w:hint="default" w:ascii="Times New Roman" w:hAnsi="Times New Roman" w:eastAsia="宋体" w:cs="Times New Roman"/>
          <w:color w:val="auto"/>
          <w:kern w:val="0"/>
          <w:sz w:val="24"/>
          <w:szCs w:val="24"/>
          <w:highlight w:val="none"/>
        </w:rPr>
        <w:t>审核控制价</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清单参考单价</w:t>
      </w:r>
      <w:r>
        <w:rPr>
          <w:rFonts w:ascii="Times New Roman" w:hAnsi="Times New Roman" w:eastAsia="宋体" w:cs="Times New Roman"/>
          <w:color w:val="auto"/>
          <w:kern w:val="0"/>
          <w:sz w:val="24"/>
          <w:szCs w:val="24"/>
          <w:highlight w:val="none"/>
        </w:rPr>
        <w:t>的</w:t>
      </w:r>
      <w:r>
        <w:rPr>
          <w:rFonts w:ascii="Times New Roman" w:hAnsi="Times New Roman" w:eastAsia="宋体" w:cs="Times New Roman"/>
          <w:color w:val="auto"/>
          <w:kern w:val="0"/>
          <w:sz w:val="24"/>
          <w:szCs w:val="24"/>
          <w:highlight w:val="none"/>
        </w:rPr>
        <w:t>下浮</w:t>
      </w:r>
      <w:r>
        <w:rPr>
          <w:rFonts w:hint="default" w:ascii="Times New Roman" w:hAnsi="Times New Roman" w:eastAsia="宋体" w:cs="Times New Roman"/>
          <w:color w:val="auto"/>
          <w:kern w:val="0"/>
          <w:sz w:val="24"/>
          <w:szCs w:val="24"/>
          <w:highlight w:val="none"/>
        </w:rPr>
        <w:t>率。</w:t>
      </w:r>
    </w:p>
    <w:p w14:paraId="1C42EC21">
      <w:pPr>
        <w:pStyle w:val="12"/>
        <w:numPr>
          <w:ilvl w:val="0"/>
          <w:numId w:val="1"/>
        </w:numPr>
        <w:autoSpaceDE w:val="0"/>
        <w:autoSpaceDN w:val="0"/>
        <w:adjustRightInd w:val="0"/>
        <w:spacing w:line="360" w:lineRule="auto"/>
        <w:ind w:left="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服务期：合同签订之日起一年或结算金额达到预算金额为止。</w:t>
      </w:r>
    </w:p>
    <w:p w14:paraId="4A7E9D06">
      <w:pPr>
        <w:pStyle w:val="12"/>
        <w:numPr>
          <w:ilvl w:val="0"/>
          <w:numId w:val="1"/>
        </w:numPr>
        <w:spacing w:line="360" w:lineRule="auto"/>
        <w:ind w:firstLine="420" w:firstLineChars="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b w:val="0"/>
          <w:bCs w:val="0"/>
          <w:color w:val="auto"/>
          <w:kern w:val="0"/>
          <w:sz w:val="24"/>
          <w:szCs w:val="24"/>
          <w:highlight w:val="none"/>
        </w:rPr>
        <w:t>服务内容：</w:t>
      </w:r>
      <w:r>
        <w:rPr>
          <w:rFonts w:hint="default" w:ascii="Times New Roman" w:hAnsi="Times New Roman" w:eastAsia="宋体" w:cs="Times New Roman"/>
          <w:color w:val="auto"/>
          <w:kern w:val="0"/>
          <w:sz w:val="24"/>
          <w:szCs w:val="24"/>
          <w:highlight w:val="none"/>
        </w:rPr>
        <w:t>广州医科大学附属番禺中心医院医疗集团内的零星物业修缮及设施修缮工程（工程造价金额少于等于人民币</w:t>
      </w:r>
      <w:r>
        <w:rPr>
          <w:rFonts w:ascii="Times New Roman" w:hAnsi="Times New Roman" w:eastAsia="DejaVuSans" w:cs="Times New Roman"/>
          <w:color w:val="auto"/>
          <w:kern w:val="0"/>
          <w:sz w:val="24"/>
          <w:szCs w:val="24"/>
          <w:highlight w:val="none"/>
        </w:rPr>
        <w:t>50</w:t>
      </w:r>
      <w:r>
        <w:rPr>
          <w:rFonts w:hint="default" w:ascii="Times New Roman" w:hAnsi="Times New Roman" w:eastAsia="宋体" w:cs="Times New Roman"/>
          <w:color w:val="auto"/>
          <w:kern w:val="0"/>
          <w:sz w:val="24"/>
          <w:szCs w:val="24"/>
          <w:highlight w:val="none"/>
        </w:rPr>
        <w:t>万元）。如：拆、砌墙体；制安防盗、防护网折扣率（栏杆）；室内装修、护土站、医用家具、门窗更换维护等维修；室内外给排水、下水道</w:t>
      </w:r>
      <w:r>
        <w:rPr>
          <w:rFonts w:ascii="Times New Roman" w:hAnsi="Times New Roman" w:eastAsia="宋体" w:cs="Times New Roman"/>
          <w:color w:val="auto"/>
          <w:kern w:val="0"/>
          <w:sz w:val="24"/>
          <w:szCs w:val="24"/>
          <w:highlight w:val="none"/>
        </w:rPr>
        <w:t>维修</w:t>
      </w:r>
      <w:r>
        <w:rPr>
          <w:rFonts w:hint="default" w:ascii="Times New Roman" w:hAnsi="Times New Roman" w:eastAsia="宋体" w:cs="Times New Roman"/>
          <w:color w:val="auto"/>
          <w:kern w:val="0"/>
          <w:sz w:val="24"/>
          <w:szCs w:val="24"/>
          <w:highlight w:val="none"/>
        </w:rPr>
        <w:t>服务、供电用电线路；道路维修</w:t>
      </w:r>
      <w:r>
        <w:rPr>
          <w:rFonts w:ascii="Times New Roman" w:hAnsi="Times New Roman" w:eastAsia="宋体" w:cs="Times New Roman"/>
          <w:color w:val="auto"/>
          <w:kern w:val="0"/>
          <w:sz w:val="24"/>
          <w:szCs w:val="24"/>
          <w:highlight w:val="none"/>
        </w:rPr>
        <w:t>，消防设备设施维修，排风机、水泵设备，机电维修</w:t>
      </w:r>
      <w:r>
        <w:rPr>
          <w:rFonts w:hint="default" w:ascii="Times New Roman" w:hAnsi="Times New Roman" w:eastAsia="宋体" w:cs="Times New Roman"/>
          <w:color w:val="auto"/>
          <w:kern w:val="0"/>
          <w:sz w:val="24"/>
          <w:szCs w:val="24"/>
          <w:highlight w:val="none"/>
        </w:rPr>
        <w:t>等；突发事项的紧急处理工作。如：雨季期间突发性的塌方清理；损坏基建设施的抢修等。</w:t>
      </w:r>
    </w:p>
    <w:p w14:paraId="02589D54">
      <w:pPr>
        <w:autoSpaceDE w:val="0"/>
        <w:autoSpaceDN w:val="0"/>
        <w:adjustRightInd w:val="0"/>
        <w:spacing w:line="360" w:lineRule="auto"/>
        <w:ind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特别说明：</w:t>
      </w:r>
    </w:p>
    <w:p w14:paraId="4330C932">
      <w:pPr>
        <w:autoSpaceDE w:val="0"/>
        <w:autoSpaceDN w:val="0"/>
        <w:adjustRightInd w:val="0"/>
        <w:spacing w:line="360" w:lineRule="auto"/>
        <w:ind w:firstLine="480" w:firstLineChars="200"/>
        <w:jc w:val="left"/>
        <w:rPr>
          <w:rFonts w:hint="default" w:ascii="Times New Roman" w:hAnsi="Times New Roman" w:eastAsia="宋体" w:cs="Times New Roman"/>
          <w:color w:val="auto"/>
          <w:kern w:val="0"/>
          <w:sz w:val="24"/>
          <w:szCs w:val="24"/>
          <w:highlight w:val="none"/>
        </w:rPr>
      </w:pPr>
      <w:r>
        <w:rPr>
          <w:rFonts w:ascii="Times New Roman" w:hAnsi="Times New Roman" w:eastAsia="DejaVuSans" w:cs="Times New Roman"/>
          <w:color w:val="auto"/>
          <w:kern w:val="0"/>
          <w:sz w:val="24"/>
          <w:szCs w:val="24"/>
          <w:highlight w:val="none"/>
        </w:rPr>
        <w:t>1</w:t>
      </w:r>
      <w:r>
        <w:rPr>
          <w:rFonts w:hint="default" w:ascii="Times New Roman" w:hAnsi="Times New Roman" w:eastAsia="宋体" w:cs="Times New Roman"/>
          <w:color w:val="auto"/>
          <w:kern w:val="0"/>
          <w:sz w:val="24"/>
          <w:szCs w:val="24"/>
          <w:highlight w:val="none"/>
        </w:rPr>
        <w:t>.当项目涉及到防雷、专业防腐、智能化监控系统、广告制作、设备设施制作安装等专业性较强的基建或维修工程时，这些项目不在零星工程承包范围内。</w:t>
      </w:r>
    </w:p>
    <w:p w14:paraId="41B07254">
      <w:pPr>
        <w:autoSpaceDE w:val="0"/>
        <w:autoSpaceDN w:val="0"/>
        <w:adjustRightInd w:val="0"/>
        <w:spacing w:line="360" w:lineRule="auto"/>
        <w:ind w:firstLine="480" w:firstLineChars="200"/>
        <w:jc w:val="left"/>
        <w:rPr>
          <w:rFonts w:hint="default" w:ascii="Times New Roman" w:hAnsi="Times New Roman" w:eastAsia="宋体" w:cs="Times New Roman"/>
          <w:color w:val="auto"/>
          <w:kern w:val="0"/>
          <w:sz w:val="24"/>
          <w:szCs w:val="24"/>
          <w:highlight w:val="none"/>
        </w:rPr>
      </w:pPr>
      <w:r>
        <w:rPr>
          <w:rFonts w:ascii="Times New Roman" w:hAnsi="Times New Roman" w:eastAsia="DejaVuSans" w:cs="Times New Roman"/>
          <w:color w:val="auto"/>
          <w:kern w:val="0"/>
          <w:sz w:val="24"/>
          <w:szCs w:val="24"/>
          <w:highlight w:val="none"/>
        </w:rPr>
        <w:t>2</w:t>
      </w:r>
      <w:r>
        <w:rPr>
          <w:rFonts w:hint="default" w:ascii="Times New Roman" w:hAnsi="Times New Roman" w:eastAsia="宋体" w:cs="Times New Roman"/>
          <w:color w:val="auto"/>
          <w:kern w:val="0"/>
          <w:sz w:val="24"/>
          <w:szCs w:val="24"/>
          <w:highlight w:val="none"/>
        </w:rPr>
        <w:t>.当遇到上述范围以外的工程项目时，工程是否属于零星工程范畴，其最终解释权由采购人确定。</w:t>
      </w:r>
    </w:p>
    <w:p w14:paraId="2CBD9EF5">
      <w:pPr>
        <w:pStyle w:val="12"/>
        <w:numPr>
          <w:ilvl w:val="255"/>
          <w:numId w:val="0"/>
        </w:numPr>
        <w:autoSpaceDE w:val="0"/>
        <w:autoSpaceDN w:val="0"/>
        <w:adjustRightInd w:val="0"/>
        <w:spacing w:line="360" w:lineRule="auto"/>
        <w:ind w:firstLine="0"/>
        <w:jc w:val="left"/>
        <w:rPr>
          <w:rFonts w:hint="default" w:ascii="Times New Roman" w:hAnsi="Times New Roman" w:eastAsia="宋体" w:cs="Times New Roman"/>
          <w:b/>
          <w:color w:val="auto"/>
          <w:kern w:val="0"/>
          <w:sz w:val="24"/>
          <w:szCs w:val="24"/>
          <w:highlight w:val="none"/>
        </w:rPr>
      </w:pPr>
    </w:p>
    <w:p w14:paraId="7073A5F3">
      <w:pPr>
        <w:autoSpaceDE w:val="0"/>
        <w:autoSpaceDN w:val="0"/>
        <w:adjustRightInd w:val="0"/>
        <w:spacing w:line="360" w:lineRule="auto"/>
        <w:ind w:firstLine="482" w:firstLineChars="200"/>
        <w:jc w:val="left"/>
        <w:rPr>
          <w:rFonts w:hint="default" w:ascii="Times New Roman" w:hAnsi="Times New Roman" w:eastAsia="宋体" w:cs="Times New Roman"/>
          <w:b/>
          <w:color w:val="auto"/>
          <w:kern w:val="0"/>
          <w:sz w:val="24"/>
          <w:szCs w:val="24"/>
          <w:highlight w:val="none"/>
        </w:rPr>
      </w:pPr>
      <w:r>
        <w:rPr>
          <w:rFonts w:hint="default" w:ascii="Times New Roman" w:hAnsi="Times New Roman" w:eastAsia="宋体" w:cs="Times New Roman"/>
          <w:b/>
          <w:color w:val="auto"/>
          <w:kern w:val="0"/>
          <w:sz w:val="24"/>
          <w:szCs w:val="24"/>
          <w:highlight w:val="none"/>
        </w:rPr>
        <w:t>二、供应商资质要求</w:t>
      </w:r>
    </w:p>
    <w:p w14:paraId="46D44308">
      <w:pPr>
        <w:pStyle w:val="12"/>
        <w:numPr>
          <w:ilvl w:val="0"/>
          <w:numId w:val="2"/>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供应商具有建设行政主管部门颁发的建筑工程施工总承包三级或以上级别资质。（提供证书扫描件</w:t>
      </w:r>
      <w:r>
        <w:rPr>
          <w:rFonts w:ascii="Times New Roman" w:hAnsi="Times New Roman" w:eastAsia="宋体" w:cs="Times New Roman"/>
          <w:color w:val="auto"/>
          <w:kern w:val="0"/>
          <w:sz w:val="24"/>
          <w:szCs w:val="24"/>
          <w:highlight w:val="none"/>
        </w:rPr>
        <w:t>)</w:t>
      </w:r>
    </w:p>
    <w:p w14:paraId="35CA1192">
      <w:pPr>
        <w:pStyle w:val="12"/>
        <w:numPr>
          <w:ilvl w:val="0"/>
          <w:numId w:val="2"/>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供应商持有建设行政主管部门颁发有效的《安全生产许可证》。</w:t>
      </w:r>
      <w:r>
        <w:rPr>
          <w:rFonts w:ascii="Times New Roman" w:hAnsi="Times New Roman" w:eastAsia="宋体" w:cs="Times New Roman"/>
          <w:color w:val="auto"/>
          <w:kern w:val="0"/>
          <w:sz w:val="24"/>
          <w:szCs w:val="24"/>
          <w:highlight w:val="none"/>
        </w:rPr>
        <w:t>(提供证书扫描件</w:t>
      </w:r>
      <w:r>
        <w:rPr>
          <w:rFonts w:hint="default" w:ascii="Times New Roman" w:hAnsi="Times New Roman" w:eastAsia="宋体" w:cs="Times New Roman"/>
          <w:color w:val="auto"/>
          <w:kern w:val="0"/>
          <w:sz w:val="24"/>
          <w:szCs w:val="24"/>
          <w:highlight w:val="none"/>
        </w:rPr>
        <w:t>)</w:t>
      </w:r>
    </w:p>
    <w:p w14:paraId="3C0105DA">
      <w:pPr>
        <w:pStyle w:val="12"/>
        <w:numPr>
          <w:ilvl w:val="0"/>
          <w:numId w:val="2"/>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供应商有</w:t>
      </w:r>
      <w:r>
        <w:rPr>
          <w:rFonts w:ascii="Times New Roman" w:hAnsi="Times New Roman" w:eastAsia="宋体" w:cs="Times New Roman"/>
          <w:color w:val="auto"/>
          <w:kern w:val="0"/>
          <w:sz w:val="24"/>
          <w:szCs w:val="24"/>
          <w:highlight w:val="none"/>
        </w:rPr>
        <w:t>2个</w:t>
      </w:r>
      <w:r>
        <w:rPr>
          <w:rFonts w:hint="default" w:ascii="Times New Roman" w:hAnsi="Times New Roman" w:eastAsia="宋体" w:cs="Times New Roman"/>
          <w:color w:val="auto"/>
          <w:kern w:val="0"/>
          <w:sz w:val="24"/>
          <w:szCs w:val="24"/>
          <w:highlight w:val="none"/>
        </w:rPr>
        <w:t>同类项目经验。（提供同类项目中标通知书、合同扫描件）</w:t>
      </w:r>
    </w:p>
    <w:p w14:paraId="44210CB8">
      <w:pPr>
        <w:autoSpaceDE w:val="0"/>
        <w:autoSpaceDN w:val="0"/>
        <w:adjustRightInd w:val="0"/>
        <w:spacing w:line="360" w:lineRule="auto"/>
        <w:ind w:firstLine="482"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b/>
          <w:color w:val="auto"/>
          <w:kern w:val="0"/>
          <w:sz w:val="24"/>
          <w:szCs w:val="24"/>
          <w:highlight w:val="none"/>
        </w:rPr>
        <w:t>三、建设背景和施工要求</w:t>
      </w:r>
    </w:p>
    <w:p w14:paraId="7406669A">
      <w:pPr>
        <w:pStyle w:val="12"/>
        <w:numPr>
          <w:ilvl w:val="0"/>
          <w:numId w:val="3"/>
        </w:numPr>
        <w:autoSpaceDE w:val="0"/>
        <w:autoSpaceDN w:val="0"/>
        <w:adjustRightInd w:val="0"/>
        <w:spacing w:line="360" w:lineRule="auto"/>
        <w:ind w:left="0" w:leftChars="0" w:firstLine="420" w:firstLineChars="0"/>
        <w:jc w:val="left"/>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采购需求</w:t>
      </w:r>
    </w:p>
    <w:p w14:paraId="6326F102">
      <w:pPr>
        <w:pStyle w:val="12"/>
        <w:numPr>
          <w:ilvl w:val="0"/>
          <w:numId w:val="4"/>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质量要求：按相关施工技术规范施工，工程用料的质量均应符合国家标准要求，并能通过相关管理部门验收合格；工程质量要求符合《工程施工质量验收规范》合格标准以上。成交供应商须做好隐蔽工程验收手续，在施工好每一项隐蔽工序后，施工单位必须通知采购人、设计单位进行隐蔽工程的验收，并签好隐蔽工程验收报告，合格后才可进行下一工序的施工。</w:t>
      </w:r>
    </w:p>
    <w:p w14:paraId="383E771A">
      <w:pPr>
        <w:pStyle w:val="12"/>
        <w:numPr>
          <w:ilvl w:val="0"/>
          <w:numId w:val="4"/>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新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rPr>
        <w:t>原场地保护要求：施工时要保护好原有场地内市政地下管线系统，保护好施工工地附近的市政设施、通讯线网等。施工场地内的地下各种管线设施，成交供应商须自行探测调查（采购人尽力协助和提供相关档案料），如有损坏，由成交供应商全部负责修理或赔偿。</w:t>
      </w:r>
    </w:p>
    <w:p w14:paraId="1729BACC">
      <w:pPr>
        <w:pStyle w:val="12"/>
        <w:numPr>
          <w:ilvl w:val="0"/>
          <w:numId w:val="3"/>
        </w:numPr>
        <w:autoSpaceDE w:val="0"/>
        <w:autoSpaceDN w:val="0"/>
        <w:adjustRightInd w:val="0"/>
        <w:spacing w:line="360" w:lineRule="auto"/>
        <w:ind w:left="0" w:leftChars="0" w:firstLine="420" w:firstLineChars="0"/>
        <w:jc w:val="left"/>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施工安全管理</w:t>
      </w:r>
    </w:p>
    <w:p w14:paraId="13812504">
      <w:pPr>
        <w:pStyle w:val="12"/>
        <w:numPr>
          <w:ilvl w:val="0"/>
          <w:numId w:val="5"/>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供应商在施工期间应严格遵守国家、省、市有关防火、防爆和施工安全以及文明施工、深夜施工、环卫、治安与城管等规定，应建立规章制度和防护、防范措施，并承担由于自身措施不力造成事故责任和发生的费用。</w:t>
      </w:r>
    </w:p>
    <w:p w14:paraId="628A3D3A">
      <w:pPr>
        <w:pStyle w:val="12"/>
        <w:numPr>
          <w:ilvl w:val="0"/>
          <w:numId w:val="5"/>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施工期间，建立施工安全用电制度，确保施工用电设备的完好无损，并设置漏电保护装置。</w:t>
      </w:r>
    </w:p>
    <w:p w14:paraId="61070D70">
      <w:pPr>
        <w:pStyle w:val="12"/>
        <w:numPr>
          <w:ilvl w:val="0"/>
          <w:numId w:val="5"/>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供应商应按安全施工的要求，采取严格科学的安全措施，确保施工安全和第三者的安全，承担由于自身安全措施不力造成的事故责任、法律责任和经济责任。</w:t>
      </w:r>
    </w:p>
    <w:p w14:paraId="6BA1DA7C">
      <w:pPr>
        <w:pStyle w:val="12"/>
        <w:numPr>
          <w:ilvl w:val="0"/>
          <w:numId w:val="5"/>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落实防火措施，施工场地配备防火器材。动火作业应严格执行院内动火审批手续，批准后方可执行动火作业。</w:t>
      </w:r>
    </w:p>
    <w:p w14:paraId="1248C22B">
      <w:pPr>
        <w:pStyle w:val="12"/>
        <w:numPr>
          <w:ilvl w:val="0"/>
          <w:numId w:val="5"/>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施工人员、物品、机械未经采购人允许不得进入医院区域内。施工过程中应采取必要的有效措施减少对施工区域内进出人员的工作造成的影响，并确保各方人员的安全，施工区域内由于供应商的责任造成的一切人员的伤亡，均由供应商承担由此产生的一切赔偿等后果。</w:t>
      </w:r>
    </w:p>
    <w:p w14:paraId="27721A18">
      <w:pPr>
        <w:pStyle w:val="12"/>
        <w:numPr>
          <w:ilvl w:val="0"/>
          <w:numId w:val="5"/>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纪律要求：注意噪音问题，不要影响医务人员、病人的休息，白天</w:t>
      </w:r>
      <w:r>
        <w:rPr>
          <w:rFonts w:ascii="Times New Roman" w:hAnsi="Times New Roman" w:eastAsia="DejaVuSans" w:cs="Times New Roman"/>
          <w:color w:val="auto"/>
          <w:kern w:val="0"/>
          <w:sz w:val="24"/>
          <w:szCs w:val="24"/>
          <w:highlight w:val="none"/>
        </w:rPr>
        <w:t>12</w:t>
      </w:r>
      <w:r>
        <w:rPr>
          <w:rFonts w:hint="default" w:ascii="Times New Roman" w:hAnsi="Times New Roman" w:eastAsia="宋体" w:cs="Times New Roman"/>
          <w:color w:val="auto"/>
          <w:kern w:val="0"/>
          <w:sz w:val="24"/>
          <w:szCs w:val="24"/>
          <w:highlight w:val="none"/>
        </w:rPr>
        <w:t>：</w:t>
      </w:r>
      <w:r>
        <w:rPr>
          <w:rFonts w:ascii="Times New Roman" w:hAnsi="Times New Roman" w:eastAsia="DejaVuSans" w:cs="Times New Roman"/>
          <w:color w:val="auto"/>
          <w:kern w:val="0"/>
          <w:sz w:val="24"/>
          <w:szCs w:val="24"/>
          <w:highlight w:val="none"/>
        </w:rPr>
        <w:t>00</w:t>
      </w:r>
      <w:r>
        <w:rPr>
          <w:rFonts w:hint="default" w:ascii="Times New Roman" w:hAnsi="Times New Roman" w:eastAsia="DejaVuSans" w:cs="Times New Roman"/>
          <w:color w:val="auto"/>
          <w:kern w:val="0"/>
          <w:sz w:val="24"/>
          <w:szCs w:val="24"/>
          <w:highlight w:val="none"/>
        </w:rPr>
        <w:t>—</w:t>
      </w:r>
      <w:r>
        <w:rPr>
          <w:rFonts w:ascii="Times New Roman" w:hAnsi="Times New Roman" w:eastAsia="DejaVuSans" w:cs="Times New Roman"/>
          <w:color w:val="auto"/>
          <w:kern w:val="0"/>
          <w:sz w:val="24"/>
          <w:szCs w:val="24"/>
          <w:highlight w:val="none"/>
        </w:rPr>
        <w:t>14</w:t>
      </w:r>
      <w:r>
        <w:rPr>
          <w:rFonts w:hint="default" w:ascii="Times New Roman" w:hAnsi="Times New Roman" w:eastAsia="宋体" w:cs="Times New Roman"/>
          <w:color w:val="auto"/>
          <w:kern w:val="0"/>
          <w:sz w:val="24"/>
          <w:szCs w:val="24"/>
          <w:highlight w:val="none"/>
        </w:rPr>
        <w:t>：</w:t>
      </w:r>
      <w:r>
        <w:rPr>
          <w:rFonts w:ascii="Times New Roman" w:hAnsi="Times New Roman" w:eastAsia="DejaVuSans" w:cs="Times New Roman"/>
          <w:color w:val="auto"/>
          <w:kern w:val="0"/>
          <w:sz w:val="24"/>
          <w:szCs w:val="24"/>
          <w:highlight w:val="none"/>
        </w:rPr>
        <w:t>00</w:t>
      </w:r>
      <w:r>
        <w:rPr>
          <w:rFonts w:hint="default" w:ascii="Times New Roman" w:hAnsi="Times New Roman" w:eastAsia="宋体" w:cs="Times New Roman"/>
          <w:color w:val="auto"/>
          <w:kern w:val="0"/>
          <w:sz w:val="24"/>
          <w:szCs w:val="24"/>
          <w:highlight w:val="none"/>
        </w:rPr>
        <w:t>，晚上</w:t>
      </w:r>
      <w:r>
        <w:rPr>
          <w:rFonts w:ascii="Times New Roman" w:hAnsi="Times New Roman" w:eastAsia="DejaVuSans" w:cs="Times New Roman"/>
          <w:color w:val="auto"/>
          <w:kern w:val="0"/>
          <w:sz w:val="24"/>
          <w:szCs w:val="24"/>
          <w:highlight w:val="none"/>
        </w:rPr>
        <w:t>10</w:t>
      </w:r>
      <w:r>
        <w:rPr>
          <w:rFonts w:hint="default" w:ascii="Times New Roman" w:hAnsi="Times New Roman" w:eastAsia="宋体" w:cs="Times New Roman"/>
          <w:color w:val="auto"/>
          <w:kern w:val="0"/>
          <w:sz w:val="24"/>
          <w:szCs w:val="24"/>
          <w:highlight w:val="none"/>
        </w:rPr>
        <w:t>时后不准施工。所有进场施工人员必须按采购人要求办理《人员出入证》，施工人员不得带与工程无关的人员进入施工场地。</w:t>
      </w:r>
    </w:p>
    <w:p w14:paraId="017E7AB7">
      <w:pPr>
        <w:pStyle w:val="12"/>
        <w:numPr>
          <w:ilvl w:val="0"/>
          <w:numId w:val="5"/>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因本项目可能涉及边运营边施工，如遇特殊情况，施工时间以采购人确定为准。</w:t>
      </w:r>
    </w:p>
    <w:p w14:paraId="7FD84B70">
      <w:pPr>
        <w:pStyle w:val="12"/>
        <w:numPr>
          <w:ilvl w:val="0"/>
          <w:numId w:val="5"/>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管理要求：工程施工单位必须服从采购人对工程质量、施工安全、施工进度等的监管，并按照采购人要求安排足够人员负责项目的日常管理。</w:t>
      </w:r>
    </w:p>
    <w:p w14:paraId="5187FA5F">
      <w:pPr>
        <w:pStyle w:val="12"/>
        <w:numPr>
          <w:ilvl w:val="0"/>
          <w:numId w:val="5"/>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施工单位人员办公场所要求：（不提供，供应商自行考虑）</w:t>
      </w:r>
    </w:p>
    <w:p w14:paraId="58E1B6FD">
      <w:pPr>
        <w:pStyle w:val="12"/>
        <w:numPr>
          <w:ilvl w:val="0"/>
          <w:numId w:val="5"/>
        </w:numPr>
        <w:autoSpaceDE/>
        <w:autoSpaceDN/>
        <w:adjustRightInd w:val="0"/>
        <w:spacing w:line="360" w:lineRule="auto"/>
        <w:ind w:left="0" w:leftChars="0" w:firstLine="480" w:firstLineChars="200"/>
        <w:jc w:val="left"/>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color w:val="auto"/>
          <w:kern w:val="0"/>
          <w:sz w:val="24"/>
          <w:szCs w:val="24"/>
          <w:highlight w:val="none"/>
        </w:rPr>
        <w:t>施工人员作业必须穿统一公司标志的服装和工牌；施工围蔽有公司标志和规范的警示牌；保持施工现场的环境整洁卫生，做好围蔽，不扬尘，垃圾当天清理，减少施工对医院各科室的不利影响，要做到工完场清。</w:t>
      </w:r>
    </w:p>
    <w:p w14:paraId="653E2EF2">
      <w:pPr>
        <w:pStyle w:val="12"/>
        <w:numPr>
          <w:ilvl w:val="0"/>
          <w:numId w:val="3"/>
        </w:numPr>
        <w:autoSpaceDE w:val="0"/>
        <w:autoSpaceDN w:val="0"/>
        <w:adjustRightInd w:val="0"/>
        <w:spacing w:line="360" w:lineRule="auto"/>
        <w:ind w:left="0" w:leftChars="0" w:firstLine="420" w:firstLineChars="0"/>
        <w:jc w:val="left"/>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工期要求和规定</w:t>
      </w:r>
    </w:p>
    <w:p w14:paraId="1CCBA571">
      <w:pPr>
        <w:numPr>
          <w:ilvl w:val="0"/>
          <w:numId w:val="6"/>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工程合同工期总日历天数：合同签订之日起一年或结算金额达到预算金额为止。</w:t>
      </w:r>
    </w:p>
    <w:p w14:paraId="57CB7E0F">
      <w:pPr>
        <w:numPr>
          <w:ilvl w:val="0"/>
          <w:numId w:val="6"/>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因采购人未按约定完成工作，影响工期，工期自动顺延，采购人不由此承担任何责任。</w:t>
      </w:r>
    </w:p>
    <w:p w14:paraId="58237F98">
      <w:pPr>
        <w:numPr>
          <w:ilvl w:val="0"/>
          <w:numId w:val="6"/>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因供应商责任，不能按期开工或中途无故停工，影响工期，工期不顺延，且应向采购人支付违约金。</w:t>
      </w:r>
    </w:p>
    <w:p w14:paraId="37C839D1">
      <w:pPr>
        <w:numPr>
          <w:ilvl w:val="0"/>
          <w:numId w:val="6"/>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采购人欢迎各供应商根据企业自身实际能力，在施工组织和施工方法合理、可行的前提下，对本工程的工期进行优化，提出缩短工期的报价文件；其中雨天、节假日及因供应商的施工质量不合格或施工程序颠倒造成的返工所耽误的工期也并记在内，不能顺延。如遇不可抗拒因素影响，工期可以顺延后，要求本工程按期完成，按期完成不奖不罚。</w:t>
      </w:r>
    </w:p>
    <w:p w14:paraId="3F8248A5">
      <w:pPr>
        <w:numPr>
          <w:ilvl w:val="0"/>
          <w:numId w:val="6"/>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本项目中的每个零星项目，供应商须按照采购人委派的任务书的工期要求及时竣工，并通过验收</w:t>
      </w:r>
      <w:r>
        <w:rPr>
          <w:rFonts w:hint="default" w:ascii="Times New Roman" w:hAnsi="Times New Roman" w:eastAsia="宋体" w:cs="Times New Roman"/>
          <w:color w:val="auto"/>
          <w:kern w:val="0"/>
          <w:sz w:val="24"/>
          <w:szCs w:val="24"/>
          <w:highlight w:val="none"/>
        </w:rPr>
        <w:t>。验收后，采购人将根据项目情况实施项目履约评价。</w:t>
      </w:r>
    </w:p>
    <w:p w14:paraId="51635B46">
      <w:pPr>
        <w:pStyle w:val="12"/>
        <w:numPr>
          <w:ilvl w:val="0"/>
          <w:numId w:val="3"/>
        </w:numPr>
        <w:autoSpaceDE w:val="0"/>
        <w:autoSpaceDN w:val="0"/>
        <w:adjustRightInd w:val="0"/>
        <w:spacing w:line="360" w:lineRule="auto"/>
        <w:ind w:left="0" w:leftChars="0" w:firstLine="420" w:firstLineChars="0"/>
        <w:jc w:val="left"/>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技术要求</w:t>
      </w:r>
    </w:p>
    <w:p w14:paraId="435C4054">
      <w:pPr>
        <w:pStyle w:val="12"/>
        <w:numPr>
          <w:ilvl w:val="0"/>
          <w:numId w:val="7"/>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施工图及竣工图要求</w:t>
      </w:r>
      <w:r>
        <w:rPr>
          <w:rFonts w:hint="default" w:ascii="Times New Roman" w:hAnsi="Times New Roman" w:eastAsia="宋体" w:cs="Times New Roman"/>
          <w:color w:val="auto"/>
          <w:kern w:val="0"/>
          <w:sz w:val="24"/>
          <w:szCs w:val="24"/>
          <w:highlight w:val="none"/>
          <w:lang w:eastAsia="zh-CN"/>
        </w:rPr>
        <w:t>：</w:t>
      </w:r>
      <w:r>
        <w:rPr>
          <w:rFonts w:ascii="Times New Roman" w:hAnsi="Times New Roman" w:eastAsia="DejaVuSans" w:cs="Times New Roman"/>
          <w:color w:val="auto"/>
          <w:kern w:val="0"/>
          <w:sz w:val="24"/>
          <w:szCs w:val="24"/>
          <w:highlight w:val="none"/>
        </w:rPr>
        <w:t>20</w:t>
      </w:r>
      <w:r>
        <w:rPr>
          <w:rFonts w:hint="default" w:ascii="Times New Roman" w:hAnsi="Times New Roman" w:eastAsia="宋体" w:cs="Times New Roman"/>
          <w:color w:val="auto"/>
          <w:kern w:val="0"/>
          <w:sz w:val="24"/>
          <w:szCs w:val="24"/>
          <w:highlight w:val="none"/>
        </w:rPr>
        <w:t>万以上项目根据采购人提供施工图，严格执行强制性标准、各项规范、规程完成</w:t>
      </w:r>
      <w:r>
        <w:rPr>
          <w:rFonts w:hint="default" w:ascii="Times New Roman" w:hAnsi="Times New Roman" w:eastAsia="宋体" w:cs="Times New Roman"/>
          <w:color w:val="auto"/>
          <w:kern w:val="0"/>
          <w:sz w:val="24"/>
          <w:szCs w:val="24"/>
          <w:highlight w:val="none"/>
          <w:lang w:val="en-US" w:eastAsia="zh-CN"/>
        </w:rPr>
        <w:t>修缮</w:t>
      </w:r>
      <w:r>
        <w:rPr>
          <w:rFonts w:hint="default" w:ascii="Times New Roman" w:hAnsi="Times New Roman" w:eastAsia="宋体" w:cs="Times New Roman"/>
          <w:color w:val="auto"/>
          <w:kern w:val="0"/>
          <w:sz w:val="24"/>
          <w:szCs w:val="24"/>
          <w:highlight w:val="none"/>
        </w:rPr>
        <w:t>。</w:t>
      </w:r>
      <w:r>
        <w:rPr>
          <w:rFonts w:ascii="Times New Roman" w:hAnsi="Times New Roman" w:eastAsia="DejaVuSans" w:cs="Times New Roman"/>
          <w:color w:val="auto"/>
          <w:kern w:val="0"/>
          <w:sz w:val="24"/>
          <w:szCs w:val="24"/>
          <w:highlight w:val="none"/>
        </w:rPr>
        <w:t>20</w:t>
      </w:r>
      <w:r>
        <w:rPr>
          <w:rFonts w:hint="default" w:ascii="Times New Roman" w:hAnsi="Times New Roman" w:eastAsia="宋体" w:cs="Times New Roman"/>
          <w:color w:val="auto"/>
          <w:kern w:val="0"/>
          <w:sz w:val="24"/>
          <w:szCs w:val="24"/>
          <w:highlight w:val="none"/>
        </w:rPr>
        <w:t>万（含）以下项目如采购方有需要，采购人将要求成交供应商根据法律法规及标准出具施工方案及附图，经采购人确认后，方可施工，成交供应商需对施工方案及附图的规范性、安全性负责。施工完成后，如采购人有需要，成交供应商需提供竣工</w:t>
      </w:r>
      <w:r>
        <w:rPr>
          <w:rFonts w:hint="default" w:ascii="Times New Roman" w:hAnsi="Times New Roman" w:eastAsia="宋体" w:cs="Times New Roman"/>
          <w:color w:val="auto"/>
          <w:kern w:val="0"/>
          <w:sz w:val="24"/>
          <w:szCs w:val="24"/>
          <w:highlight w:val="none"/>
          <w:lang w:val="en-US" w:eastAsia="zh-CN"/>
        </w:rPr>
        <w:t>后工程量示意图</w:t>
      </w:r>
      <w:r>
        <w:rPr>
          <w:rFonts w:hint="default" w:ascii="Times New Roman" w:hAnsi="Times New Roman" w:eastAsia="宋体" w:cs="Times New Roman"/>
          <w:color w:val="auto"/>
          <w:kern w:val="0"/>
          <w:sz w:val="24"/>
          <w:szCs w:val="24"/>
          <w:highlight w:val="none"/>
        </w:rPr>
        <w:t>，加盖公章。</w:t>
      </w:r>
    </w:p>
    <w:p w14:paraId="6336F87B">
      <w:pPr>
        <w:pStyle w:val="12"/>
        <w:numPr>
          <w:ilvl w:val="0"/>
          <w:numId w:val="3"/>
        </w:numPr>
        <w:autoSpaceDE w:val="0"/>
        <w:autoSpaceDN w:val="0"/>
        <w:adjustRightInd w:val="0"/>
        <w:spacing w:line="360" w:lineRule="auto"/>
        <w:ind w:left="0" w:leftChars="0" w:firstLine="420" w:firstLineChars="0"/>
        <w:jc w:val="left"/>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施工技术及质量要求</w:t>
      </w:r>
    </w:p>
    <w:p w14:paraId="7AA3C008">
      <w:pPr>
        <w:pStyle w:val="12"/>
        <w:numPr>
          <w:ilvl w:val="0"/>
          <w:numId w:val="8"/>
        </w:numPr>
        <w:autoSpaceDE w:val="0"/>
        <w:autoSpaceDN w:val="0"/>
        <w:adjustRightInd w:val="0"/>
        <w:spacing w:line="360" w:lineRule="auto"/>
        <w:ind w:left="0" w:leftChars="0" w:firstLine="420" w:firstLineChars="0"/>
        <w:jc w:val="left"/>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★团队人要求</w:t>
      </w:r>
    </w:p>
    <w:p w14:paraId="6E1A3D12">
      <w:pPr>
        <w:pStyle w:val="12"/>
        <w:numPr>
          <w:ilvl w:val="0"/>
          <w:numId w:val="9"/>
        </w:numPr>
        <w:autoSpaceDE/>
        <w:autoSpaceDN/>
        <w:adjustRightInd w:val="0"/>
        <w:spacing w:line="360" w:lineRule="auto"/>
        <w:ind w:left="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拟担任本项目的项目负责人具备建筑工程专业二级</w:t>
      </w:r>
      <w:r>
        <w:rPr>
          <w:rFonts w:ascii="Times New Roman" w:hAnsi="Times New Roman" w:eastAsia="宋体" w:cs="Times New Roman"/>
          <w:color w:val="auto"/>
          <w:kern w:val="0"/>
          <w:sz w:val="24"/>
          <w:szCs w:val="24"/>
          <w:highlight w:val="none"/>
        </w:rPr>
        <w:t>(或以上)级别的注册建造师资质，并持有安全生产考核合格证(B类)或建筑施工企业项目负责人安全生产考核合格证书。</w:t>
      </w:r>
      <w:r>
        <w:rPr>
          <w:rFonts w:hint="default" w:ascii="Times New Roman" w:hAnsi="Times New Roman" w:eastAsia="宋体" w:cs="Times New Roman"/>
          <w:color w:val="auto"/>
          <w:kern w:val="0"/>
          <w:sz w:val="24"/>
          <w:szCs w:val="24"/>
          <w:highlight w:val="none"/>
        </w:rPr>
        <w:t>（提供证书扫描件</w:t>
      </w:r>
      <w:r>
        <w:rPr>
          <w:rFonts w:ascii="Times New Roman" w:hAnsi="Times New Roman" w:eastAsia="宋体" w:cs="Times New Roman"/>
          <w:color w:val="auto"/>
          <w:kern w:val="0"/>
          <w:sz w:val="24"/>
          <w:szCs w:val="24"/>
          <w:highlight w:val="none"/>
        </w:rPr>
        <w:t>)</w:t>
      </w:r>
    </w:p>
    <w:p w14:paraId="2615EDE4">
      <w:pPr>
        <w:pStyle w:val="12"/>
        <w:numPr>
          <w:ilvl w:val="0"/>
          <w:numId w:val="9"/>
        </w:numPr>
        <w:autoSpaceDE/>
        <w:autoSpaceDN/>
        <w:adjustRightInd w:val="0"/>
        <w:spacing w:line="360" w:lineRule="auto"/>
        <w:ind w:left="0" w:firstLine="480" w:firstLineChars="200"/>
        <w:jc w:val="left"/>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color w:val="auto"/>
          <w:kern w:val="0"/>
          <w:sz w:val="24"/>
          <w:szCs w:val="24"/>
          <w:highlight w:val="none"/>
        </w:rPr>
        <w:t>拟派专职安全员须具有在有效期内的安全生产考核合格证</w:t>
      </w:r>
      <w:r>
        <w:rPr>
          <w:rFonts w:ascii="Times New Roman" w:hAnsi="Times New Roman" w:eastAsia="宋体" w:cs="Times New Roman"/>
          <w:color w:val="auto"/>
          <w:kern w:val="0"/>
          <w:sz w:val="24"/>
          <w:szCs w:val="24"/>
          <w:highlight w:val="none"/>
        </w:rPr>
        <w:t>(C类)或建筑施工企业</w:t>
      </w:r>
      <w:r>
        <w:rPr>
          <w:rFonts w:hint="default" w:ascii="Times New Roman" w:hAnsi="Times New Roman" w:eastAsia="宋体" w:cs="Times New Roman"/>
          <w:b w:val="0"/>
          <w:bCs w:val="0"/>
          <w:color w:val="auto"/>
          <w:kern w:val="0"/>
          <w:sz w:val="24"/>
          <w:szCs w:val="24"/>
          <w:highlight w:val="none"/>
        </w:rPr>
        <w:t>专职安全生产管理人员安全生产考核合格证书(C3)。</w:t>
      </w:r>
    </w:p>
    <w:p w14:paraId="1ECDE069">
      <w:pPr>
        <w:pStyle w:val="12"/>
        <w:numPr>
          <w:ilvl w:val="0"/>
          <w:numId w:val="8"/>
        </w:numPr>
        <w:autoSpaceDE w:val="0"/>
        <w:autoSpaceDN w:val="0"/>
        <w:adjustRightInd w:val="0"/>
        <w:spacing w:line="360" w:lineRule="auto"/>
        <w:ind w:left="0" w:leftChars="0" w:firstLine="420" w:firstLineChars="0"/>
        <w:jc w:val="left"/>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规范要求</w:t>
      </w:r>
    </w:p>
    <w:p w14:paraId="5C1849B3">
      <w:pPr>
        <w:pStyle w:val="12"/>
        <w:numPr>
          <w:ilvl w:val="0"/>
          <w:numId w:val="10"/>
        </w:numPr>
        <w:autoSpaceDE/>
        <w:autoSpaceDN/>
        <w:adjustRightInd w:val="0"/>
        <w:spacing w:line="360" w:lineRule="auto"/>
        <w:ind w:left="0" w:leftChars="0" w:firstLine="480" w:firstLineChars="200"/>
        <w:jc w:val="left"/>
        <w:rPr>
          <w:rFonts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如本项目需求引用的法规、制度、规范、标准等有更新的，则供应商应按最新的文件执行。</w:t>
      </w:r>
    </w:p>
    <w:p w14:paraId="47ADA17B">
      <w:pPr>
        <w:pStyle w:val="12"/>
        <w:numPr>
          <w:ilvl w:val="0"/>
          <w:numId w:val="10"/>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如采购文件要求供应商提供符合某个标准的检测报告作为投标</w:t>
      </w:r>
      <w:r>
        <w:rPr>
          <w:rFonts w:ascii="Times New Roman" w:hAnsi="Times New Roman" w:eastAsia="DejaVuSans"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rPr>
        <w:t>响应文件组成部分的，且自本项目采购文件发出后该标准有更新的（即产生新标准），则供应商可按照采购文件规定的标准出具检测报告，也可按新标准出具检测报告。</w:t>
      </w:r>
    </w:p>
    <w:p w14:paraId="4259D18A">
      <w:pPr>
        <w:autoSpaceDE w:val="0"/>
        <w:autoSpaceDN w:val="0"/>
        <w:adjustRightInd w:val="0"/>
        <w:spacing w:line="360" w:lineRule="auto"/>
        <w:ind w:firstLine="482" w:firstLineChars="200"/>
        <w:jc w:val="left"/>
        <w:rPr>
          <w:rFonts w:hint="default" w:ascii="Times New Roman" w:hAnsi="Times New Roman" w:eastAsia="宋体" w:cs="Times New Roman"/>
          <w:b/>
          <w:color w:val="auto"/>
          <w:kern w:val="0"/>
          <w:sz w:val="24"/>
          <w:szCs w:val="24"/>
          <w:highlight w:val="none"/>
        </w:rPr>
      </w:pPr>
      <w:r>
        <w:rPr>
          <w:rFonts w:ascii="Times New Roman" w:hAnsi="Times New Roman" w:eastAsia="宋体" w:cs="Times New Roman"/>
          <w:b/>
          <w:color w:val="auto"/>
          <w:kern w:val="0"/>
          <w:sz w:val="24"/>
          <w:szCs w:val="24"/>
          <w:highlight w:val="none"/>
        </w:rPr>
        <w:t>四</w:t>
      </w:r>
      <w:r>
        <w:rPr>
          <w:rFonts w:hint="default" w:ascii="Times New Roman" w:hAnsi="Times New Roman" w:eastAsia="宋体" w:cs="Times New Roman"/>
          <w:b/>
          <w:color w:val="auto"/>
          <w:kern w:val="0"/>
          <w:sz w:val="24"/>
          <w:szCs w:val="24"/>
          <w:highlight w:val="none"/>
        </w:rPr>
        <w:t>、采购报价</w:t>
      </w:r>
    </w:p>
    <w:p w14:paraId="590D4E2D">
      <w:pPr>
        <w:pStyle w:val="12"/>
        <w:numPr>
          <w:ilvl w:val="0"/>
          <w:numId w:val="11"/>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报价已包含对本项目采购范围内的零星修缮项目的图纸、工程量清单编制、人工、材料、机械、余泥排放、保险、质量、工期、安全、文明施工等。</w:t>
      </w:r>
    </w:p>
    <w:p w14:paraId="68BF6D3E">
      <w:pPr>
        <w:pStyle w:val="12"/>
        <w:numPr>
          <w:ilvl w:val="0"/>
          <w:numId w:val="12"/>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人工费、材料费、机械费、管理费、垃圾清理费、劳保用品费、保险费、利润、项目措施费、规费、税金、配合费、暂列金以及施工</w:t>
      </w:r>
      <w:r>
        <w:rPr>
          <w:rFonts w:hint="default" w:ascii="Times New Roman" w:hAnsi="Times New Roman" w:eastAsia="宋体" w:cs="Times New Roman"/>
          <w:color w:val="auto"/>
          <w:kern w:val="0"/>
          <w:sz w:val="24"/>
          <w:szCs w:val="24"/>
          <w:highlight w:val="none"/>
        </w:rPr>
        <w:t>合同包含的所有风险、责任等各项应有费用；</w:t>
      </w:r>
    </w:p>
    <w:p w14:paraId="248CE62A">
      <w:pPr>
        <w:pStyle w:val="12"/>
        <w:numPr>
          <w:ilvl w:val="0"/>
          <w:numId w:val="12"/>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合同年度内每项零星工程施工的设备及配件费；</w:t>
      </w:r>
    </w:p>
    <w:p w14:paraId="49E79414">
      <w:pPr>
        <w:pStyle w:val="12"/>
        <w:numPr>
          <w:ilvl w:val="0"/>
          <w:numId w:val="12"/>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安装中的相关费用（包括安装过程中损耗、额外材料等）；</w:t>
      </w:r>
    </w:p>
    <w:p w14:paraId="052A89C0">
      <w:pPr>
        <w:pStyle w:val="12"/>
        <w:numPr>
          <w:ilvl w:val="0"/>
          <w:numId w:val="12"/>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人员培训和售后服务的相关费用；</w:t>
      </w:r>
    </w:p>
    <w:p w14:paraId="37F6335B">
      <w:pPr>
        <w:pStyle w:val="12"/>
        <w:numPr>
          <w:ilvl w:val="0"/>
          <w:numId w:val="12"/>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本项目所有专项项目和子项项目根据项目实际情况套用适用的定额，不一定套用维修定额，具体套用定额问题由采购人委托的第三方造价咨询公司根据项目内容、规模、分布位置选择确定。</w:t>
      </w:r>
    </w:p>
    <w:p w14:paraId="143B2914">
      <w:pPr>
        <w:pStyle w:val="12"/>
        <w:numPr>
          <w:ilvl w:val="0"/>
          <w:numId w:val="12"/>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根据采购人需要，成交供应商有义务对采购人提供的项目信息或施工方案图进行细化和完善，提交正式的效果图、施工图。</w:t>
      </w:r>
    </w:p>
    <w:p w14:paraId="0A97039F">
      <w:pPr>
        <w:pStyle w:val="12"/>
        <w:numPr>
          <w:ilvl w:val="0"/>
          <w:numId w:val="11"/>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响应供应商报出统一的</w:t>
      </w:r>
      <w:r>
        <w:rPr>
          <w:rFonts w:hint="default" w:ascii="Times New Roman" w:hAnsi="Times New Roman" w:eastAsia="宋体" w:cs="Times New Roman"/>
          <w:color w:val="auto"/>
          <w:kern w:val="0"/>
          <w:sz w:val="24"/>
          <w:szCs w:val="24"/>
          <w:highlight w:val="none"/>
        </w:rPr>
        <w:t>下浮</w:t>
      </w:r>
      <w:r>
        <w:rPr>
          <w:rFonts w:hint="default" w:ascii="Times New Roman" w:hAnsi="Times New Roman" w:eastAsia="宋体" w:cs="Times New Roman"/>
          <w:color w:val="auto"/>
          <w:kern w:val="0"/>
          <w:sz w:val="24"/>
          <w:szCs w:val="24"/>
          <w:highlight w:val="none"/>
        </w:rPr>
        <w:t>率，响应</w:t>
      </w:r>
      <w:r>
        <w:rPr>
          <w:rFonts w:hint="default" w:ascii="Times New Roman" w:hAnsi="Times New Roman" w:eastAsia="宋体" w:cs="Times New Roman"/>
          <w:color w:val="auto"/>
          <w:kern w:val="0"/>
          <w:sz w:val="24"/>
          <w:szCs w:val="24"/>
          <w:highlight w:val="none"/>
        </w:rPr>
        <w:t>下浮</w:t>
      </w:r>
      <w:r>
        <w:rPr>
          <w:rFonts w:hint="default" w:ascii="Times New Roman" w:hAnsi="Times New Roman" w:eastAsia="宋体" w:cs="Times New Roman"/>
          <w:color w:val="auto"/>
          <w:kern w:val="0"/>
          <w:sz w:val="24"/>
          <w:szCs w:val="24"/>
          <w:highlight w:val="none"/>
        </w:rPr>
        <w:t>率必须为固定报价，不接受区间报价（如9</w:t>
      </w:r>
      <w:r>
        <w:rPr>
          <w:rFonts w:ascii="Times New Roman" w:hAnsi="Times New Roman" w:eastAsia="宋体" w:cs="Times New Roman"/>
          <w:color w:val="auto"/>
          <w:kern w:val="0"/>
          <w:sz w:val="24"/>
          <w:szCs w:val="24"/>
          <w:highlight w:val="none"/>
        </w:rPr>
        <w:t>0</w:t>
      </w:r>
      <w:r>
        <w:rPr>
          <w:rFonts w:ascii="Times New Roman" w:hAnsi="Times New Roman" w:eastAsia="DejaVuSans"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rPr>
        <w:t>-95%）。</w:t>
      </w:r>
    </w:p>
    <w:p w14:paraId="44490C51">
      <w:pPr>
        <w:pStyle w:val="12"/>
        <w:numPr>
          <w:ilvl w:val="-1"/>
          <w:numId w:val="0"/>
        </w:numPr>
        <w:autoSpaceDE w:val="0"/>
        <w:autoSpaceDN w:val="0"/>
        <w:adjustRightInd w:val="0"/>
        <w:spacing w:line="360" w:lineRule="auto"/>
        <w:ind w:left="0" w:leftChars="0" w:firstLine="0" w:firstLineChars="0"/>
        <w:jc w:val="left"/>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rPr>
        <w:t xml:space="preserve">  1.</w:t>
      </w:r>
      <w:r>
        <w:rPr>
          <w:rFonts w:hint="default" w:ascii="Times New Roman" w:hAnsi="Times New Roman" w:eastAsia="宋体" w:cs="Times New Roman"/>
          <w:color w:val="auto"/>
          <w:kern w:val="0"/>
          <w:sz w:val="24"/>
          <w:szCs w:val="24"/>
          <w:highlight w:val="none"/>
        </w:rPr>
        <w:t>为保证本采购包的工程质量，成交供应商在项目实施过程中使用到的主要材料</w:t>
      </w:r>
      <w:r>
        <w:rPr>
          <w:rFonts w:ascii="Times New Roman" w:hAnsi="Times New Roman" w:eastAsia="DejaVuSans"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rPr>
        <w:t>设备，为保持院区后期维修维护的可行性，选用的材料</w:t>
      </w:r>
      <w:r>
        <w:rPr>
          <w:rFonts w:ascii="Times New Roman" w:hAnsi="Times New Roman" w:eastAsia="DejaVuSans"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rPr>
        <w:t>设备需经采购人同意后方可使用。</w:t>
      </w:r>
    </w:p>
    <w:p w14:paraId="50DD589F">
      <w:pPr>
        <w:pStyle w:val="12"/>
        <w:numPr>
          <w:ilvl w:val="-1"/>
          <w:numId w:val="0"/>
        </w:numPr>
        <w:autoSpaceDE w:val="0"/>
        <w:autoSpaceDN w:val="0"/>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eastAsia="zh-CN"/>
        </w:rPr>
        <w:t>2</w:t>
      </w:r>
      <w:r>
        <w:rPr>
          <w:rFonts w:hint="default" w:ascii="Times New Roman" w:hAnsi="Times New Roman" w:eastAsia="宋体" w:cs="Times New Roman"/>
          <w:color w:val="auto"/>
          <w:kern w:val="0"/>
          <w:sz w:val="24"/>
          <w:szCs w:val="24"/>
          <w:highlight w:val="none"/>
          <w:lang w:val="en-US" w:eastAsia="zh-CN"/>
        </w:rPr>
        <w:t>.如附件</w:t>
      </w:r>
      <w:r>
        <w:rPr>
          <w:rFonts w:hint="default" w:ascii="Times New Roman" w:hAnsi="Times New Roman" w:eastAsia="宋体" w:cs="Times New Roman"/>
          <w:color w:val="auto"/>
          <w:kern w:val="0"/>
          <w:sz w:val="24"/>
          <w:szCs w:val="24"/>
          <w:highlight w:val="none"/>
        </w:rPr>
        <w:t>一、清单参考单价</w:t>
      </w:r>
      <w:r>
        <w:rPr>
          <w:rFonts w:hint="default" w:ascii="Times New Roman" w:hAnsi="Times New Roman" w:eastAsia="宋体" w:cs="Times New Roman"/>
          <w:color w:val="auto"/>
          <w:kern w:val="0"/>
          <w:sz w:val="24"/>
          <w:szCs w:val="24"/>
          <w:highlight w:val="none"/>
          <w:lang w:val="en-US" w:eastAsia="zh-CN"/>
        </w:rPr>
        <w:t>已有对应价格的项目，对应项目单价=对应项目清单参考单价</w:t>
      </w:r>
      <w:r>
        <w:rPr>
          <w:rFonts w:hint="default" w:ascii="Times New Roman" w:hAnsi="Times New Roman" w:eastAsia="宋体" w:cs="Times New Roman"/>
          <w:color w:val="auto"/>
          <w:kern w:val="0"/>
          <w:sz w:val="24"/>
          <w:szCs w:val="24"/>
          <w:highlight w:val="none"/>
        </w:rPr>
        <w:t>×折扣率</w:t>
      </w:r>
      <w:r>
        <w:rPr>
          <w:rFonts w:hint="default" w:ascii="Times New Roman" w:hAnsi="Times New Roman" w:eastAsia="宋体" w:cs="Times New Roman"/>
          <w:color w:val="auto"/>
          <w:kern w:val="0"/>
          <w:sz w:val="24"/>
          <w:szCs w:val="24"/>
          <w:highlight w:val="none"/>
          <w:lang w:val="en-US" w:eastAsia="zh-CN"/>
        </w:rPr>
        <w:t>。</w:t>
      </w:r>
    </w:p>
    <w:p w14:paraId="2D5EF194">
      <w:pPr>
        <w:pStyle w:val="12"/>
        <w:numPr>
          <w:ilvl w:val="-1"/>
          <w:numId w:val="0"/>
        </w:numPr>
        <w:autoSpaceDE w:val="0"/>
        <w:autoSpaceDN w:val="0"/>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eastAsia="zh-CN"/>
        </w:rPr>
        <w:t>3</w:t>
      </w:r>
      <w:r>
        <w:rPr>
          <w:rFonts w:hint="default" w:ascii="Times New Roman" w:hAnsi="Times New Roman" w:eastAsia="宋体" w:cs="Times New Roman"/>
          <w:color w:val="auto"/>
          <w:kern w:val="0"/>
          <w:sz w:val="24"/>
          <w:szCs w:val="24"/>
          <w:highlight w:val="none"/>
          <w:lang w:val="en-US" w:eastAsia="zh-CN"/>
        </w:rPr>
        <w:t>.如附件一、</w:t>
      </w:r>
      <w:r>
        <w:rPr>
          <w:rFonts w:hint="default" w:ascii="Times New Roman" w:hAnsi="Times New Roman" w:eastAsia="宋体" w:cs="Times New Roman"/>
          <w:color w:val="auto"/>
          <w:kern w:val="0"/>
          <w:sz w:val="24"/>
          <w:szCs w:val="24"/>
          <w:highlight w:val="none"/>
        </w:rPr>
        <w:t>清单参考单价</w:t>
      </w:r>
      <w:r>
        <w:rPr>
          <w:rFonts w:hint="default" w:ascii="Times New Roman" w:hAnsi="Times New Roman" w:eastAsia="宋体" w:cs="Times New Roman"/>
          <w:color w:val="auto"/>
          <w:kern w:val="0"/>
          <w:sz w:val="24"/>
          <w:szCs w:val="24"/>
          <w:highlight w:val="none"/>
          <w:lang w:val="en-US" w:eastAsia="zh-CN"/>
        </w:rPr>
        <w:t>无对应价格的项目。其</w:t>
      </w:r>
      <w:r>
        <w:rPr>
          <w:rFonts w:hint="default" w:ascii="Times New Roman" w:hAnsi="Times New Roman" w:eastAsia="宋体" w:cs="Times New Roman"/>
          <w:color w:val="auto"/>
          <w:kern w:val="0"/>
          <w:sz w:val="24"/>
          <w:szCs w:val="24"/>
          <w:highlight w:val="none"/>
        </w:rPr>
        <w:t>结算价=审核控制价×折扣率。审核控制价的评审依据：（以项目开工当日最新的为准）</w:t>
      </w:r>
    </w:p>
    <w:p w14:paraId="2EDF94C7">
      <w:pPr>
        <w:pStyle w:val="12"/>
        <w:numPr>
          <w:ilvl w:val="0"/>
          <w:numId w:val="13"/>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住房和城乡建设部</w:t>
      </w:r>
      <w:r>
        <w:rPr>
          <w:rFonts w:ascii="Times New Roman" w:hAnsi="Times New Roman" w:eastAsia="DejaVuSans" w:cs="Times New Roman"/>
          <w:color w:val="auto"/>
          <w:kern w:val="0"/>
          <w:sz w:val="24"/>
          <w:szCs w:val="24"/>
          <w:highlight w:val="none"/>
        </w:rPr>
        <w:t>2012</w:t>
      </w:r>
      <w:r>
        <w:rPr>
          <w:rFonts w:hint="default" w:ascii="Times New Roman" w:hAnsi="Times New Roman" w:eastAsia="宋体" w:cs="Times New Roman"/>
          <w:color w:val="auto"/>
          <w:kern w:val="0"/>
          <w:sz w:val="24"/>
          <w:szCs w:val="24"/>
          <w:highlight w:val="none"/>
        </w:rPr>
        <w:t>年</w:t>
      </w:r>
      <w:r>
        <w:rPr>
          <w:rFonts w:ascii="Times New Roman" w:hAnsi="Times New Roman" w:eastAsia="DejaVuSans" w:cs="Times New Roman"/>
          <w:color w:val="auto"/>
          <w:kern w:val="0"/>
          <w:sz w:val="24"/>
          <w:szCs w:val="24"/>
          <w:highlight w:val="none"/>
        </w:rPr>
        <w:t>12</w:t>
      </w:r>
      <w:r>
        <w:rPr>
          <w:rFonts w:hint="default" w:ascii="Times New Roman" w:hAnsi="Times New Roman" w:eastAsia="宋体" w:cs="Times New Roman"/>
          <w:color w:val="auto"/>
          <w:kern w:val="0"/>
          <w:sz w:val="24"/>
          <w:szCs w:val="24"/>
          <w:highlight w:val="none"/>
        </w:rPr>
        <w:t>月</w:t>
      </w:r>
      <w:r>
        <w:rPr>
          <w:rFonts w:ascii="Times New Roman" w:hAnsi="Times New Roman" w:eastAsia="DejaVuSans" w:cs="Times New Roman"/>
          <w:color w:val="auto"/>
          <w:kern w:val="0"/>
          <w:sz w:val="24"/>
          <w:szCs w:val="24"/>
          <w:highlight w:val="none"/>
        </w:rPr>
        <w:t>25</w:t>
      </w:r>
      <w:r>
        <w:rPr>
          <w:rFonts w:hint="default" w:ascii="Times New Roman" w:hAnsi="Times New Roman" w:eastAsia="宋体" w:cs="Times New Roman"/>
          <w:color w:val="auto"/>
          <w:kern w:val="0"/>
          <w:sz w:val="24"/>
          <w:szCs w:val="24"/>
          <w:highlight w:val="none"/>
        </w:rPr>
        <w:t>日印发的《通用安装工程工程量计算规范》（</w:t>
      </w:r>
      <w:r>
        <w:rPr>
          <w:rFonts w:ascii="Times New Roman" w:hAnsi="Times New Roman" w:eastAsia="DejaVuSans" w:cs="Times New Roman"/>
          <w:color w:val="auto"/>
          <w:kern w:val="0"/>
          <w:sz w:val="24"/>
          <w:szCs w:val="24"/>
          <w:highlight w:val="none"/>
        </w:rPr>
        <w:t>GB50856-2013</w:t>
      </w:r>
      <w:r>
        <w:rPr>
          <w:rFonts w:hint="default" w:ascii="Times New Roman" w:hAnsi="Times New Roman" w:eastAsia="宋体" w:cs="Times New Roman"/>
          <w:color w:val="auto"/>
          <w:kern w:val="0"/>
          <w:sz w:val="24"/>
          <w:szCs w:val="24"/>
          <w:highlight w:val="none"/>
        </w:rPr>
        <w:t>）、《房屋建筑与装饰工程工程量计算规范》（</w:t>
      </w:r>
      <w:r>
        <w:rPr>
          <w:rFonts w:ascii="Times New Roman" w:hAnsi="Times New Roman" w:eastAsia="DejaVuSans" w:cs="Times New Roman"/>
          <w:color w:val="auto"/>
          <w:kern w:val="0"/>
          <w:sz w:val="24"/>
          <w:szCs w:val="24"/>
          <w:highlight w:val="none"/>
        </w:rPr>
        <w:t>GB50855-2013</w:t>
      </w:r>
      <w:r>
        <w:rPr>
          <w:rFonts w:hint="default" w:ascii="Times New Roman" w:hAnsi="Times New Roman" w:eastAsia="宋体" w:cs="Times New Roman"/>
          <w:color w:val="auto"/>
          <w:kern w:val="0"/>
          <w:sz w:val="24"/>
          <w:szCs w:val="24"/>
          <w:highlight w:val="none"/>
        </w:rPr>
        <w:t>）；广东省住房和城乡建设厅颁发的《广东省建设工程计价依据</w:t>
      </w:r>
      <w:r>
        <w:rPr>
          <w:rFonts w:ascii="Times New Roman" w:hAnsi="Times New Roman" w:eastAsia="DejaVuSans" w:cs="Times New Roman"/>
          <w:color w:val="auto"/>
          <w:kern w:val="0"/>
          <w:sz w:val="24"/>
          <w:szCs w:val="24"/>
          <w:highlight w:val="none"/>
        </w:rPr>
        <w:t>(2018)</w:t>
      </w:r>
      <w:r>
        <w:rPr>
          <w:rFonts w:hint="default" w:ascii="Times New Roman" w:hAnsi="Times New Roman" w:eastAsia="宋体" w:cs="Times New Roman"/>
          <w:color w:val="auto"/>
          <w:kern w:val="0"/>
          <w:sz w:val="24"/>
          <w:szCs w:val="24"/>
          <w:highlight w:val="none"/>
        </w:rPr>
        <w:t>》（粤建市</w:t>
      </w:r>
      <w:r>
        <w:rPr>
          <w:rFonts w:ascii="Times New Roman" w:hAnsi="Times New Roman" w:eastAsia="DejaVuSans" w:cs="Times New Roman"/>
          <w:color w:val="auto"/>
          <w:kern w:val="0"/>
          <w:sz w:val="24"/>
          <w:szCs w:val="24"/>
          <w:highlight w:val="none"/>
        </w:rPr>
        <w:t>[2019]6</w:t>
      </w:r>
      <w:r>
        <w:rPr>
          <w:rFonts w:hint="default" w:ascii="Times New Roman" w:hAnsi="Times New Roman" w:eastAsia="宋体" w:cs="Times New Roman"/>
          <w:color w:val="auto"/>
          <w:kern w:val="0"/>
          <w:sz w:val="24"/>
          <w:szCs w:val="24"/>
          <w:highlight w:val="none"/>
        </w:rPr>
        <w:t>号），计价依据：《广东省房屋建筑与装饰工程综合定额</w:t>
      </w:r>
      <w:r>
        <w:rPr>
          <w:rFonts w:ascii="Times New Roman" w:hAnsi="Times New Roman" w:eastAsia="DejaVuSans" w:cs="Times New Roman"/>
          <w:color w:val="auto"/>
          <w:kern w:val="0"/>
          <w:sz w:val="24"/>
          <w:szCs w:val="24"/>
          <w:highlight w:val="none"/>
        </w:rPr>
        <w:t>(2018)</w:t>
      </w:r>
      <w:r>
        <w:rPr>
          <w:rFonts w:hint="default" w:ascii="Times New Roman" w:hAnsi="Times New Roman" w:eastAsia="宋体" w:cs="Times New Roman"/>
          <w:color w:val="auto"/>
          <w:kern w:val="0"/>
          <w:sz w:val="24"/>
          <w:szCs w:val="24"/>
          <w:highlight w:val="none"/>
        </w:rPr>
        <w:t>》、《广东省通用安装工程综合定额</w:t>
      </w:r>
      <w:r>
        <w:rPr>
          <w:rFonts w:ascii="Times New Roman" w:hAnsi="Times New Roman" w:eastAsia="DejaVuSans" w:cs="Times New Roman"/>
          <w:color w:val="auto"/>
          <w:kern w:val="0"/>
          <w:sz w:val="24"/>
          <w:szCs w:val="24"/>
          <w:highlight w:val="none"/>
        </w:rPr>
        <w:t>(2018)</w:t>
      </w:r>
      <w:r>
        <w:rPr>
          <w:rFonts w:hint="default" w:ascii="Times New Roman" w:hAnsi="Times New Roman" w:eastAsia="宋体" w:cs="Times New Roman"/>
          <w:color w:val="auto"/>
          <w:kern w:val="0"/>
          <w:sz w:val="24"/>
          <w:szCs w:val="24"/>
          <w:highlight w:val="none"/>
        </w:rPr>
        <w:t>》；</w:t>
      </w:r>
    </w:p>
    <w:p w14:paraId="344247ED">
      <w:pPr>
        <w:pStyle w:val="12"/>
        <w:numPr>
          <w:ilvl w:val="0"/>
          <w:numId w:val="13"/>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人工、材料、机械采用施工月份《广州市建设工程造价管理站关于发布广州市建设工程价格信息及有关计价办法的通知》，上述文件中没有的材料、设备价格按照实际使用的材料结合市场询价及参考广州市建设工程造价管理站发布的施工季度《广州地区建设工程材料（设备）厂商价格信息》。</w:t>
      </w:r>
    </w:p>
    <w:p w14:paraId="0D53BBB5">
      <w:pPr>
        <w:autoSpaceDE w:val="0"/>
        <w:autoSpaceDN w:val="0"/>
        <w:adjustRightInd w:val="0"/>
        <w:spacing w:line="360" w:lineRule="auto"/>
        <w:ind w:firstLine="482" w:firstLineChars="200"/>
        <w:jc w:val="left"/>
        <w:rPr>
          <w:rFonts w:hint="default" w:ascii="Times New Roman" w:hAnsi="Times New Roman" w:eastAsia="宋体" w:cs="Times New Roman"/>
          <w:b/>
          <w:color w:val="auto"/>
          <w:kern w:val="0"/>
          <w:sz w:val="24"/>
          <w:szCs w:val="24"/>
          <w:highlight w:val="none"/>
        </w:rPr>
      </w:pPr>
      <w:r>
        <w:rPr>
          <w:rFonts w:ascii="Times New Roman" w:hAnsi="Times New Roman" w:eastAsia="宋体" w:cs="Times New Roman"/>
          <w:b/>
          <w:color w:val="auto"/>
          <w:kern w:val="0"/>
          <w:sz w:val="24"/>
          <w:szCs w:val="24"/>
          <w:highlight w:val="none"/>
        </w:rPr>
        <w:t>五</w:t>
      </w:r>
      <w:r>
        <w:rPr>
          <w:rFonts w:hint="default" w:ascii="Times New Roman" w:hAnsi="Times New Roman" w:eastAsia="宋体" w:cs="Times New Roman"/>
          <w:b/>
          <w:color w:val="auto"/>
          <w:kern w:val="0"/>
          <w:sz w:val="24"/>
          <w:szCs w:val="24"/>
          <w:highlight w:val="none"/>
        </w:rPr>
        <w:t>、验收标准：</w:t>
      </w:r>
    </w:p>
    <w:p w14:paraId="656750D4">
      <w:pPr>
        <w:pStyle w:val="12"/>
        <w:numPr>
          <w:ilvl w:val="0"/>
          <w:numId w:val="14"/>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本工程以施工图纸、设计变更和参照《建筑工程施工质量验收统一标准》</w:t>
      </w:r>
      <w:r>
        <w:rPr>
          <w:rFonts w:ascii="Times New Roman" w:hAnsi="Times New Roman" w:eastAsia="DejaVuSans" w:cs="Times New Roman"/>
          <w:color w:val="auto"/>
          <w:kern w:val="0"/>
          <w:sz w:val="24"/>
          <w:szCs w:val="24"/>
          <w:highlight w:val="none"/>
        </w:rPr>
        <w:t>(GB50300-2013)</w:t>
      </w:r>
      <w:r>
        <w:rPr>
          <w:rFonts w:hint="default" w:ascii="Times New Roman" w:hAnsi="Times New Roman" w:eastAsia="宋体" w:cs="Times New Roman"/>
          <w:color w:val="auto"/>
          <w:kern w:val="0"/>
          <w:sz w:val="24"/>
          <w:szCs w:val="24"/>
          <w:highlight w:val="none"/>
        </w:rPr>
        <w:t>、《建筑装饰装修工程质量验收标</w:t>
      </w:r>
      <w:r>
        <w:rPr>
          <w:rFonts w:ascii="Times New Roman" w:hAnsi="Times New Roman" w:eastAsia="DejaVuSans" w:cs="Times New Roman"/>
          <w:color w:val="auto"/>
          <w:kern w:val="0"/>
          <w:sz w:val="24"/>
          <w:szCs w:val="24"/>
          <w:highlight w:val="none"/>
        </w:rPr>
        <w:t>(GB50210-2018)</w:t>
      </w:r>
      <w:r>
        <w:rPr>
          <w:rFonts w:hint="default" w:ascii="Times New Roman" w:hAnsi="Times New Roman" w:eastAsia="宋体" w:cs="Times New Roman"/>
          <w:color w:val="auto"/>
          <w:kern w:val="0"/>
          <w:sz w:val="24"/>
          <w:szCs w:val="24"/>
          <w:highlight w:val="none"/>
        </w:rPr>
        <w:t>等国家制订的施工及验收规范为质量评定验收标准。并达到合格标准。</w:t>
      </w:r>
    </w:p>
    <w:p w14:paraId="1E82F9E4">
      <w:pPr>
        <w:pStyle w:val="12"/>
        <w:numPr>
          <w:ilvl w:val="0"/>
          <w:numId w:val="14"/>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由于成交供应商原因造成质量事故，其返工费用由成交供应商承担，工期不顺延。</w:t>
      </w:r>
    </w:p>
    <w:p w14:paraId="46A5856E">
      <w:pPr>
        <w:pStyle w:val="12"/>
        <w:numPr>
          <w:ilvl w:val="0"/>
          <w:numId w:val="14"/>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工程竣工后，成交供应商按规定整理并向采购人提供完整的技术档案资料并发出竣工通知书，经双方协商确定验收时间，采购人在双方确定的验收时间内组织验收，并办理验收、移交手续。如采购人在规定时间内未能组织验收，需及时通知成交供应商，另定验收日期。但采购人应承认竣工日期。若验收不合格，成交供应商在采购人限定的时间内修改后重新组织验收，并承担由于修改而产生的所有费用。工期不予顺延，竣工日期以最后检验合格的日期为准。若因此给采购人造成损失，成交供应商应赔偿采购人的全部损失。</w:t>
      </w:r>
    </w:p>
    <w:p w14:paraId="246CC12D">
      <w:pPr>
        <w:pStyle w:val="12"/>
        <w:numPr>
          <w:ilvl w:val="0"/>
          <w:numId w:val="14"/>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工程竣工验收，应以施工图纸、技术交底纪要、设计更改通知为依据，验收标准按国家颁发的《建筑工程施工质量验收统一标准》（</w:t>
      </w:r>
      <w:r>
        <w:rPr>
          <w:rFonts w:ascii="Times New Roman" w:hAnsi="Times New Roman" w:eastAsia="宋体" w:cs="Times New Roman"/>
          <w:color w:val="auto"/>
          <w:kern w:val="0"/>
          <w:sz w:val="24"/>
          <w:szCs w:val="24"/>
          <w:highlight w:val="none"/>
        </w:rPr>
        <w:t>GB50300-2013）执行，必须达到新竣工备案制的合格标准</w:t>
      </w:r>
      <w:r>
        <w:rPr>
          <w:rFonts w:hint="default" w:ascii="Times New Roman" w:hAnsi="Times New Roman" w:eastAsia="宋体" w:cs="Times New Roman"/>
          <w:color w:val="auto"/>
          <w:kern w:val="0"/>
          <w:sz w:val="24"/>
          <w:szCs w:val="24"/>
          <w:highlight w:val="none"/>
        </w:rPr>
        <w:t>。自工程移交采购人管理日起计算，修缮工程、电气管线、给排水管道、设备安装和装修工程保修期为</w:t>
      </w:r>
      <w:r>
        <w:rPr>
          <w:rFonts w:ascii="Times New Roman" w:hAnsi="Times New Roman" w:eastAsia="DejaVuSans" w:cs="Times New Roman"/>
          <w:color w:val="auto"/>
          <w:kern w:val="0"/>
          <w:sz w:val="24"/>
          <w:szCs w:val="24"/>
          <w:highlight w:val="none"/>
        </w:rPr>
        <w:t>2</w:t>
      </w:r>
      <w:r>
        <w:rPr>
          <w:rFonts w:hint="default" w:ascii="Times New Roman" w:hAnsi="Times New Roman" w:eastAsia="宋体" w:cs="Times New Roman"/>
          <w:color w:val="auto"/>
          <w:kern w:val="0"/>
          <w:sz w:val="24"/>
          <w:szCs w:val="24"/>
          <w:highlight w:val="none"/>
        </w:rPr>
        <w:t>年，屋面防水工程、有防水要求的卫生间、房间和外墙面的防渗漏修缮工程质保期为</w:t>
      </w:r>
      <w:r>
        <w:rPr>
          <w:rFonts w:ascii="Times New Roman" w:hAnsi="Times New Roman" w:eastAsia="DejaVuSans" w:cs="Times New Roman"/>
          <w:color w:val="auto"/>
          <w:kern w:val="0"/>
          <w:sz w:val="24"/>
          <w:szCs w:val="24"/>
          <w:highlight w:val="none"/>
        </w:rPr>
        <w:t>5</w:t>
      </w:r>
      <w:r>
        <w:rPr>
          <w:rFonts w:hint="default" w:ascii="Times New Roman" w:hAnsi="Times New Roman" w:eastAsia="宋体" w:cs="Times New Roman"/>
          <w:color w:val="auto"/>
          <w:kern w:val="0"/>
          <w:sz w:val="24"/>
          <w:szCs w:val="24"/>
          <w:highlight w:val="none"/>
        </w:rPr>
        <w:t>年</w:t>
      </w:r>
      <w:r>
        <w:rPr>
          <w:rFonts w:ascii="Times New Roman" w:hAnsi="Times New Roman" w:eastAsia="宋体" w:cs="Times New Roman"/>
          <w:color w:val="auto"/>
          <w:kern w:val="0"/>
          <w:sz w:val="24"/>
          <w:szCs w:val="24"/>
          <w:highlight w:val="none"/>
        </w:rPr>
        <w:t>，不在所列的质保期为</w:t>
      </w:r>
      <w:r>
        <w:rPr>
          <w:rFonts w:ascii="Times New Roman" w:hAnsi="Times New Roman" w:eastAsia="宋体" w:cs="Times New Roman"/>
          <w:b/>
          <w:bCs/>
          <w:color w:val="auto"/>
          <w:kern w:val="0"/>
          <w:sz w:val="24"/>
          <w:szCs w:val="24"/>
          <w:highlight w:val="none"/>
        </w:rPr>
        <w:t>2</w:t>
      </w:r>
      <w:r>
        <w:rPr>
          <w:rFonts w:ascii="Times New Roman" w:hAnsi="Times New Roman" w:eastAsia="宋体" w:cs="Times New Roman"/>
          <w:color w:val="auto"/>
          <w:kern w:val="0"/>
          <w:sz w:val="24"/>
          <w:szCs w:val="24"/>
          <w:highlight w:val="none"/>
        </w:rPr>
        <w:t>年</w:t>
      </w:r>
      <w:r>
        <w:rPr>
          <w:rFonts w:hint="default" w:ascii="Times New Roman" w:hAnsi="Times New Roman" w:eastAsia="宋体" w:cs="Times New Roman"/>
          <w:color w:val="auto"/>
          <w:kern w:val="0"/>
          <w:sz w:val="24"/>
          <w:szCs w:val="24"/>
          <w:highlight w:val="none"/>
        </w:rPr>
        <w:t>。在保修期内因施工造成的工程质量问题</w:t>
      </w:r>
      <w:r>
        <w:rPr>
          <w:rFonts w:ascii="Times New Roman" w:hAnsi="Times New Roman" w:eastAsia="DejaVuSans"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rPr>
        <w:t>采购人应书面通知成交供应商并约定时间进行修理，成交供应商应在采购人通知的时间内及时提供免费修理服务。</w:t>
      </w:r>
    </w:p>
    <w:p w14:paraId="79226D76">
      <w:pPr>
        <w:autoSpaceDE w:val="0"/>
        <w:autoSpaceDN w:val="0"/>
        <w:adjustRightInd w:val="0"/>
        <w:spacing w:line="360" w:lineRule="auto"/>
        <w:ind w:firstLine="482" w:firstLineChars="200"/>
        <w:jc w:val="left"/>
        <w:rPr>
          <w:rFonts w:hint="default" w:ascii="Times New Roman" w:hAnsi="Times New Roman" w:eastAsia="宋体" w:cs="Times New Roman"/>
          <w:b/>
          <w:color w:val="auto"/>
          <w:kern w:val="0"/>
          <w:sz w:val="24"/>
          <w:szCs w:val="24"/>
          <w:highlight w:val="none"/>
        </w:rPr>
      </w:pPr>
      <w:r>
        <w:rPr>
          <w:rFonts w:ascii="Times New Roman" w:hAnsi="Times New Roman" w:eastAsia="宋体" w:cs="Times New Roman"/>
          <w:b/>
          <w:color w:val="auto"/>
          <w:kern w:val="0"/>
          <w:sz w:val="24"/>
          <w:szCs w:val="24"/>
          <w:highlight w:val="none"/>
        </w:rPr>
        <w:t>六</w:t>
      </w:r>
      <w:r>
        <w:rPr>
          <w:rFonts w:hint="default" w:ascii="Times New Roman" w:hAnsi="Times New Roman" w:eastAsia="宋体" w:cs="Times New Roman"/>
          <w:b/>
          <w:color w:val="auto"/>
          <w:kern w:val="0"/>
          <w:sz w:val="24"/>
          <w:szCs w:val="24"/>
          <w:highlight w:val="none"/>
        </w:rPr>
        <w:t>、工程款支付方式：</w:t>
      </w:r>
    </w:p>
    <w:p w14:paraId="1F782E8A">
      <w:pPr>
        <w:pStyle w:val="12"/>
        <w:numPr>
          <w:ilvl w:val="0"/>
          <w:numId w:val="15"/>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预付款：合同签订后</w:t>
      </w:r>
      <w:r>
        <w:rPr>
          <w:rFonts w:ascii="Times New Roman" w:hAnsi="Times New Roman" w:eastAsia="宋体" w:cs="Times New Roman"/>
          <w:color w:val="auto"/>
          <w:kern w:val="0"/>
          <w:sz w:val="24"/>
          <w:szCs w:val="24"/>
          <w:highlight w:val="none"/>
        </w:rPr>
        <w:t>5个工作日，</w:t>
      </w:r>
      <w:r>
        <w:rPr>
          <w:rFonts w:hint="default" w:ascii="Times New Roman" w:hAnsi="Times New Roman" w:eastAsia="宋体" w:cs="Times New Roman"/>
          <w:color w:val="auto"/>
          <w:kern w:val="0"/>
          <w:sz w:val="24"/>
          <w:szCs w:val="24"/>
          <w:highlight w:val="none"/>
        </w:rPr>
        <w:t>采购</w:t>
      </w:r>
      <w:r>
        <w:rPr>
          <w:rFonts w:ascii="Times New Roman" w:hAnsi="Times New Roman" w:eastAsia="宋体" w:cs="Times New Roman"/>
          <w:color w:val="auto"/>
          <w:kern w:val="0"/>
          <w:sz w:val="24"/>
          <w:szCs w:val="24"/>
          <w:highlight w:val="none"/>
        </w:rPr>
        <w:t>人向</w:t>
      </w:r>
      <w:r>
        <w:rPr>
          <w:rFonts w:hint="default" w:ascii="Times New Roman" w:hAnsi="Times New Roman" w:eastAsia="宋体" w:cs="Times New Roman"/>
          <w:color w:val="auto"/>
          <w:kern w:val="0"/>
          <w:sz w:val="24"/>
          <w:szCs w:val="24"/>
          <w:highlight w:val="none"/>
        </w:rPr>
        <w:t>供应商</w:t>
      </w:r>
      <w:r>
        <w:rPr>
          <w:rFonts w:ascii="Times New Roman" w:hAnsi="Times New Roman" w:eastAsia="宋体" w:cs="Times New Roman"/>
          <w:color w:val="auto"/>
          <w:kern w:val="0"/>
          <w:sz w:val="24"/>
          <w:szCs w:val="24"/>
          <w:highlight w:val="none"/>
        </w:rPr>
        <w:t>支付合同价的5%预付款。</w:t>
      </w:r>
      <w:r>
        <w:rPr>
          <w:rFonts w:ascii="Times New Roman" w:hAnsi="Times New Roman" w:eastAsia="宋体" w:cs="Times New Roman"/>
          <w:color w:val="auto"/>
          <w:sz w:val="24"/>
          <w:szCs w:val="24"/>
          <w:highlight w:val="none"/>
          <w:lang w:bidi="ar"/>
        </w:rPr>
        <w:t>预付款抵扣：预付款从应支付给承包人的进度款中分期扣回，直到扣回的金额达到预付款金额为止。</w:t>
      </w:r>
    </w:p>
    <w:p w14:paraId="6E7AD29B">
      <w:pPr>
        <w:pStyle w:val="12"/>
        <w:numPr>
          <w:ilvl w:val="0"/>
          <w:numId w:val="15"/>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工程结算价按医院委托造价咨询单位审核，经业主、施工方、造价咨询单位三方确认的造价作为具体项目的审核控制价，以审核控制价下浮后的结算价进行最终结算。（如成交供应商所报折扣率为9</w:t>
      </w:r>
      <w:r>
        <w:rPr>
          <w:rFonts w:ascii="Times New Roman" w:hAnsi="Times New Roman" w:eastAsia="宋体" w:cs="Times New Roman"/>
          <w:color w:val="auto"/>
          <w:kern w:val="0"/>
          <w:sz w:val="24"/>
          <w:szCs w:val="24"/>
          <w:highlight w:val="none"/>
        </w:rPr>
        <w:t>0</w:t>
      </w:r>
      <w:r>
        <w:rPr>
          <w:rFonts w:ascii="Times New Roman" w:hAnsi="Times New Roman" w:eastAsia="DejaVuSans"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rPr>
        <w:t>，则以审核控制价</w:t>
      </w:r>
      <w:r>
        <w:rPr>
          <w:rFonts w:hint="default" w:ascii="Times New Roman" w:hAnsi="Times New Roman" w:eastAsia="DejaVuSans" w:cs="Times New Roman"/>
          <w:color w:val="auto"/>
          <w:kern w:val="0"/>
          <w:sz w:val="24"/>
          <w:szCs w:val="24"/>
          <w:highlight w:val="none"/>
        </w:rPr>
        <w:t>×9</w:t>
      </w:r>
      <w:r>
        <w:rPr>
          <w:rFonts w:ascii="Times New Roman" w:hAnsi="Times New Roman" w:eastAsia="DejaVuSans" w:cs="Times New Roman"/>
          <w:color w:val="auto"/>
          <w:kern w:val="0"/>
          <w:sz w:val="24"/>
          <w:szCs w:val="24"/>
          <w:highlight w:val="none"/>
        </w:rPr>
        <w:t>0%</w:t>
      </w:r>
      <w:r>
        <w:rPr>
          <w:rFonts w:hint="default" w:ascii="Times New Roman" w:hAnsi="Times New Roman" w:eastAsia="DejaVuSans" w:cs="Times New Roman"/>
          <w:color w:val="auto"/>
          <w:kern w:val="0"/>
          <w:sz w:val="24"/>
          <w:szCs w:val="24"/>
          <w:highlight w:val="none"/>
        </w:rPr>
        <w:t>为</w:t>
      </w:r>
      <w:r>
        <w:rPr>
          <w:rFonts w:hint="default" w:ascii="Times New Roman" w:hAnsi="Times New Roman" w:eastAsia="宋体" w:cs="Times New Roman"/>
          <w:color w:val="auto"/>
          <w:kern w:val="0"/>
          <w:sz w:val="24"/>
          <w:szCs w:val="24"/>
          <w:highlight w:val="none"/>
        </w:rPr>
        <w:t>结算价）</w:t>
      </w:r>
    </w:p>
    <w:p w14:paraId="249421DE">
      <w:pPr>
        <w:pStyle w:val="12"/>
        <w:numPr>
          <w:ilvl w:val="0"/>
          <w:numId w:val="15"/>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履约保证金：合同生效后五个工作日内，乙方应支票、汇票、本票或者金融机构、担保机构出具的保函等非现金形式向甲方提交合同金额的5%作为约保证金。</w:t>
      </w:r>
    </w:p>
    <w:p w14:paraId="0148A065">
      <w:pPr>
        <w:pStyle w:val="12"/>
        <w:numPr>
          <w:ilvl w:val="0"/>
          <w:numId w:val="15"/>
        </w:numPr>
        <w:autoSpaceDE w:val="0"/>
        <w:autoSpaceDN w:val="0"/>
        <w:adjustRightInd w:val="0"/>
        <w:spacing w:line="360" w:lineRule="auto"/>
        <w:ind w:left="0" w:leftChars="0" w:firstLine="420" w:firstLineChars="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结算款支付的方式：</w:t>
      </w:r>
    </w:p>
    <w:p w14:paraId="6C94A3BA">
      <w:pPr>
        <w:pStyle w:val="12"/>
        <w:numPr>
          <w:ilvl w:val="0"/>
          <w:numId w:val="16"/>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ascii="Times New Roman" w:hAnsi="Times New Roman" w:eastAsia="DejaVuSans" w:cs="Times New Roman"/>
          <w:color w:val="auto"/>
          <w:kern w:val="0"/>
          <w:sz w:val="24"/>
          <w:szCs w:val="24"/>
          <w:highlight w:val="none"/>
        </w:rPr>
        <w:t>20</w:t>
      </w:r>
      <w:r>
        <w:rPr>
          <w:rFonts w:hint="default" w:ascii="Times New Roman" w:hAnsi="Times New Roman" w:eastAsia="宋体" w:cs="Times New Roman"/>
          <w:color w:val="auto"/>
          <w:kern w:val="0"/>
          <w:sz w:val="24"/>
          <w:szCs w:val="24"/>
          <w:highlight w:val="none"/>
        </w:rPr>
        <w:t>万以下零星修缮</w:t>
      </w:r>
      <w:r>
        <w:rPr>
          <w:rFonts w:ascii="Times New Roman" w:hAnsi="Times New Roman" w:eastAsia="宋体" w:cs="Times New Roman"/>
          <w:color w:val="auto"/>
          <w:kern w:val="0"/>
          <w:sz w:val="24"/>
          <w:szCs w:val="24"/>
          <w:highlight w:val="none"/>
        </w:rPr>
        <w:t>项目</w:t>
      </w:r>
      <w:r>
        <w:rPr>
          <w:rFonts w:hint="default" w:ascii="Times New Roman" w:hAnsi="Times New Roman" w:eastAsia="宋体" w:cs="Times New Roman"/>
          <w:color w:val="auto"/>
          <w:kern w:val="0"/>
          <w:sz w:val="24"/>
          <w:szCs w:val="24"/>
          <w:highlight w:val="none"/>
        </w:rPr>
        <w:t>每三个月结算一次，供应商递交竣工结算资料</w:t>
      </w:r>
      <w:r>
        <w:rPr>
          <w:rFonts w:ascii="Times New Roman" w:hAnsi="Times New Roman" w:eastAsia="宋体" w:cs="Times New Roman"/>
          <w:color w:val="auto"/>
          <w:kern w:val="0"/>
          <w:sz w:val="24"/>
          <w:szCs w:val="24"/>
          <w:highlight w:val="none"/>
        </w:rPr>
        <w:t>（如有扣罚款项应从中扣除）</w:t>
      </w:r>
      <w:r>
        <w:rPr>
          <w:rFonts w:hint="default" w:ascii="Times New Roman" w:hAnsi="Times New Roman" w:eastAsia="宋体" w:cs="Times New Roman"/>
          <w:color w:val="auto"/>
          <w:kern w:val="0"/>
          <w:sz w:val="24"/>
          <w:szCs w:val="24"/>
          <w:highlight w:val="none"/>
        </w:rPr>
        <w:t>，由采购人委托的造价咨询单位审定，且经三方确认后，在采购人收齐资料后</w:t>
      </w:r>
      <w:r>
        <w:rPr>
          <w:rFonts w:ascii="Times New Roman" w:hAnsi="Times New Roman" w:eastAsia="宋体" w:cs="Times New Roman"/>
          <w:color w:val="auto"/>
          <w:kern w:val="0"/>
          <w:sz w:val="24"/>
          <w:szCs w:val="24"/>
          <w:highlight w:val="none"/>
        </w:rPr>
        <w:t>5个工作日内办理支付手续</w:t>
      </w:r>
      <w:r>
        <w:rPr>
          <w:rFonts w:hint="default" w:ascii="Times New Roman" w:hAnsi="Times New Roman" w:eastAsia="宋体" w:cs="Times New Roman"/>
          <w:color w:val="auto"/>
          <w:kern w:val="0"/>
          <w:sz w:val="24"/>
          <w:szCs w:val="24"/>
          <w:highlight w:val="none"/>
        </w:rPr>
        <w:t>。</w:t>
      </w:r>
    </w:p>
    <w:p w14:paraId="48CC78D8">
      <w:pPr>
        <w:pStyle w:val="12"/>
        <w:numPr>
          <w:ilvl w:val="0"/>
          <w:numId w:val="16"/>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ascii="Times New Roman" w:hAnsi="Times New Roman" w:eastAsia="DejaVuSans" w:cs="Times New Roman"/>
          <w:color w:val="auto"/>
          <w:kern w:val="0"/>
          <w:sz w:val="24"/>
          <w:szCs w:val="24"/>
          <w:highlight w:val="none"/>
        </w:rPr>
        <w:t>20</w:t>
      </w:r>
      <w:r>
        <w:rPr>
          <w:rFonts w:hint="default" w:ascii="Times New Roman" w:hAnsi="Times New Roman" w:eastAsia="宋体" w:cs="Times New Roman"/>
          <w:color w:val="auto"/>
          <w:kern w:val="0"/>
          <w:sz w:val="24"/>
          <w:szCs w:val="24"/>
          <w:highlight w:val="none"/>
        </w:rPr>
        <w:t>万至</w:t>
      </w:r>
      <w:r>
        <w:rPr>
          <w:rFonts w:ascii="Times New Roman" w:hAnsi="Times New Roman" w:eastAsia="DejaVuSans" w:cs="Times New Roman"/>
          <w:color w:val="auto"/>
          <w:kern w:val="0"/>
          <w:sz w:val="24"/>
          <w:szCs w:val="24"/>
          <w:highlight w:val="none"/>
        </w:rPr>
        <w:t>50</w:t>
      </w:r>
      <w:r>
        <w:rPr>
          <w:rFonts w:hint="default" w:ascii="Times New Roman" w:hAnsi="Times New Roman" w:eastAsia="宋体" w:cs="Times New Roman"/>
          <w:color w:val="auto"/>
          <w:kern w:val="0"/>
          <w:sz w:val="24"/>
          <w:szCs w:val="24"/>
          <w:highlight w:val="none"/>
        </w:rPr>
        <w:t>万的零星修缮</w:t>
      </w:r>
      <w:r>
        <w:rPr>
          <w:rFonts w:ascii="Times New Roman" w:hAnsi="Times New Roman" w:eastAsia="宋体" w:cs="Times New Roman"/>
          <w:color w:val="auto"/>
          <w:kern w:val="0"/>
          <w:sz w:val="24"/>
          <w:szCs w:val="24"/>
          <w:highlight w:val="none"/>
        </w:rPr>
        <w:t>项目</w:t>
      </w:r>
      <w:r>
        <w:rPr>
          <w:rFonts w:hint="default" w:ascii="Times New Roman" w:hAnsi="Times New Roman" w:eastAsia="宋体" w:cs="Times New Roman"/>
          <w:color w:val="auto"/>
          <w:kern w:val="0"/>
          <w:sz w:val="24"/>
          <w:szCs w:val="24"/>
          <w:highlight w:val="none"/>
        </w:rPr>
        <w:t>每两个月单独结算，供应商递交竣工结算资料</w:t>
      </w:r>
      <w:r>
        <w:rPr>
          <w:rFonts w:ascii="Times New Roman" w:hAnsi="Times New Roman" w:eastAsia="宋体" w:cs="Times New Roman"/>
          <w:color w:val="auto"/>
          <w:kern w:val="0"/>
          <w:sz w:val="24"/>
          <w:szCs w:val="24"/>
          <w:highlight w:val="none"/>
        </w:rPr>
        <w:t>（如有扣罚款项应从中扣除）</w:t>
      </w:r>
      <w:r>
        <w:rPr>
          <w:rFonts w:hint="default" w:ascii="Times New Roman" w:hAnsi="Times New Roman" w:eastAsia="宋体" w:cs="Times New Roman"/>
          <w:color w:val="auto"/>
          <w:kern w:val="0"/>
          <w:sz w:val="24"/>
          <w:szCs w:val="24"/>
          <w:highlight w:val="none"/>
        </w:rPr>
        <w:t>，经采购人委托的造价咨询单位审定，且经三方确认后，在采购人收齐资料后5个工作日内办理支付手续。</w:t>
      </w:r>
    </w:p>
    <w:p w14:paraId="373903CD">
      <w:pPr>
        <w:pStyle w:val="12"/>
        <w:numPr>
          <w:ilvl w:val="0"/>
          <w:numId w:val="16"/>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供应商请款时须提供：①请款函；②竣工结算资料；</w:t>
      </w:r>
      <w:r>
        <w:rPr>
          <w:rFonts w:ascii="Times New Roman" w:hAnsi="Times New Roman" w:eastAsia="宋体" w:cs="Times New Roman"/>
          <w:color w:val="auto"/>
          <w:kern w:val="0"/>
          <w:sz w:val="24"/>
          <w:szCs w:val="24"/>
          <w:highlight w:val="none"/>
        </w:rPr>
        <w:fldChar w:fldCharType="begin"/>
      </w:r>
      <w:r>
        <w:rPr>
          <w:rFonts w:ascii="Times New Roman" w:hAnsi="Times New Roman" w:eastAsia="宋体" w:cs="Times New Roman"/>
          <w:color w:val="auto"/>
          <w:kern w:val="0"/>
          <w:sz w:val="24"/>
          <w:szCs w:val="24"/>
          <w:highlight w:val="none"/>
        </w:rPr>
        <w:instrText xml:space="preserve"> </w:instrText>
      </w:r>
      <w:r>
        <w:rPr>
          <w:rFonts w:hint="default" w:ascii="Times New Roman" w:hAnsi="Times New Roman" w:eastAsia="宋体" w:cs="Times New Roman"/>
          <w:color w:val="auto"/>
          <w:kern w:val="0"/>
          <w:sz w:val="24"/>
          <w:szCs w:val="24"/>
          <w:highlight w:val="none"/>
        </w:rPr>
        <w:instrText xml:space="preserve">= 3 \* GB3</w:instrText>
      </w:r>
      <w:r>
        <w:rPr>
          <w:rFonts w:ascii="Times New Roman" w:hAnsi="Times New Roman" w:eastAsia="宋体" w:cs="Times New Roman"/>
          <w:color w:val="auto"/>
          <w:kern w:val="0"/>
          <w:sz w:val="24"/>
          <w:szCs w:val="24"/>
          <w:highlight w:val="none"/>
        </w:rPr>
        <w:instrText xml:space="preserve"> </w:instrText>
      </w:r>
      <w:r>
        <w:rPr>
          <w:rFonts w:ascii="Times New Roman" w:hAnsi="Times New Roman" w:eastAsia="宋体" w:cs="Times New Roman"/>
          <w:color w:val="auto"/>
          <w:kern w:val="0"/>
          <w:sz w:val="24"/>
          <w:szCs w:val="24"/>
          <w:highlight w:val="none"/>
        </w:rPr>
        <w:fldChar w:fldCharType="separate"/>
      </w:r>
      <w:r>
        <w:rPr>
          <w:rFonts w:hint="default" w:ascii="Times New Roman" w:hAnsi="Times New Roman" w:eastAsia="宋体" w:cs="Times New Roman"/>
          <w:color w:val="auto"/>
          <w:kern w:val="0"/>
          <w:sz w:val="24"/>
          <w:szCs w:val="24"/>
          <w:highlight w:val="none"/>
        </w:rPr>
        <w:t>③</w:t>
      </w:r>
      <w:r>
        <w:rPr>
          <w:rFonts w:ascii="Times New Roman" w:hAnsi="Times New Roman" w:eastAsia="宋体" w:cs="Times New Roman"/>
          <w:color w:val="auto"/>
          <w:kern w:val="0"/>
          <w:sz w:val="24"/>
          <w:szCs w:val="24"/>
          <w:highlight w:val="none"/>
        </w:rPr>
        <w:fldChar w:fldCharType="end"/>
      </w:r>
      <w:r>
        <w:rPr>
          <w:rFonts w:hint="default" w:ascii="Times New Roman" w:hAnsi="Times New Roman" w:eastAsia="宋体" w:cs="Times New Roman"/>
          <w:color w:val="auto"/>
          <w:kern w:val="0"/>
          <w:sz w:val="24"/>
          <w:szCs w:val="24"/>
          <w:highlight w:val="none"/>
        </w:rPr>
        <w:t>等额合法发票。</w:t>
      </w:r>
    </w:p>
    <w:p w14:paraId="089F5E69">
      <w:pPr>
        <w:pStyle w:val="12"/>
        <w:numPr>
          <w:ilvl w:val="0"/>
          <w:numId w:val="16"/>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工程结算审核费的支付：由采购人支付。</w:t>
      </w:r>
    </w:p>
    <w:p w14:paraId="20A77DEB">
      <w:pPr>
        <w:pStyle w:val="12"/>
        <w:numPr>
          <w:ilvl w:val="0"/>
          <w:numId w:val="16"/>
        </w:numPr>
        <w:autoSpaceDE/>
        <w:autoSpaceDN/>
        <w:adjustRightInd w:val="0"/>
        <w:spacing w:line="360" w:lineRule="auto"/>
        <w:ind w:left="0" w:leftChars="0"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因</w:t>
      </w:r>
      <w:r>
        <w:rPr>
          <w:rFonts w:ascii="Times New Roman" w:hAnsi="Times New Roman" w:eastAsia="宋体" w:cs="Times New Roman"/>
          <w:color w:val="auto"/>
          <w:kern w:val="0"/>
          <w:sz w:val="24"/>
          <w:szCs w:val="24"/>
          <w:highlight w:val="none"/>
        </w:rPr>
        <w:t>供应商</w:t>
      </w:r>
      <w:r>
        <w:rPr>
          <w:rFonts w:hint="default" w:ascii="Times New Roman" w:hAnsi="Times New Roman" w:eastAsia="宋体" w:cs="Times New Roman"/>
          <w:color w:val="auto"/>
          <w:kern w:val="0"/>
          <w:sz w:val="24"/>
          <w:szCs w:val="24"/>
          <w:highlight w:val="none"/>
        </w:rPr>
        <w:t>竣工资料提交延误或不齐造成的损失一概由</w:t>
      </w:r>
      <w:r>
        <w:rPr>
          <w:rFonts w:ascii="Times New Roman" w:hAnsi="Times New Roman" w:eastAsia="宋体" w:cs="Times New Roman"/>
          <w:color w:val="auto"/>
          <w:kern w:val="0"/>
          <w:sz w:val="24"/>
          <w:szCs w:val="24"/>
          <w:highlight w:val="none"/>
        </w:rPr>
        <w:t>供应商</w:t>
      </w:r>
      <w:r>
        <w:rPr>
          <w:rFonts w:hint="default" w:ascii="Times New Roman" w:hAnsi="Times New Roman" w:eastAsia="宋体" w:cs="Times New Roman"/>
          <w:color w:val="auto"/>
          <w:kern w:val="0"/>
          <w:sz w:val="24"/>
          <w:szCs w:val="24"/>
          <w:highlight w:val="none"/>
        </w:rPr>
        <w:t>自行承担。</w:t>
      </w:r>
    </w:p>
    <w:p w14:paraId="2B7BD065">
      <w:pPr>
        <w:pStyle w:val="12"/>
        <w:widowControl w:val="0"/>
        <w:numPr>
          <w:ilvl w:val="0"/>
          <w:numId w:val="0"/>
        </w:numPr>
        <w:autoSpaceDE w:val="0"/>
        <w:autoSpaceDN w:val="0"/>
        <w:adjustRightInd w:val="0"/>
        <w:spacing w:line="360" w:lineRule="auto"/>
        <w:ind w:firstLine="0"/>
        <w:jc w:val="left"/>
        <w:rPr>
          <w:rFonts w:hint="default" w:ascii="Times New Roman" w:hAnsi="Times New Roman" w:eastAsia="宋体" w:cs="Times New Roman"/>
          <w:color w:val="auto"/>
          <w:kern w:val="0"/>
          <w:sz w:val="24"/>
          <w:szCs w:val="24"/>
          <w:highlight w:val="none"/>
        </w:rPr>
      </w:pPr>
    </w:p>
    <w:p w14:paraId="2D62351B">
      <w:pPr>
        <w:pStyle w:val="12"/>
        <w:widowControl w:val="0"/>
        <w:numPr>
          <w:ilvl w:val="0"/>
          <w:numId w:val="0"/>
        </w:numPr>
        <w:autoSpaceDE w:val="0"/>
        <w:autoSpaceDN w:val="0"/>
        <w:adjustRightInd w:val="0"/>
        <w:spacing w:line="360" w:lineRule="auto"/>
        <w:ind w:firstLine="0"/>
        <w:jc w:val="left"/>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附件：</w:t>
      </w:r>
    </w:p>
    <w:p w14:paraId="7FFCCE8F">
      <w:pPr>
        <w:pStyle w:val="12"/>
        <w:widowControl w:val="0"/>
        <w:numPr>
          <w:ilvl w:val="0"/>
          <w:numId w:val="17"/>
        </w:numPr>
        <w:autoSpaceDE w:val="0"/>
        <w:autoSpaceDN w:val="0"/>
        <w:adjustRightInd w:val="0"/>
        <w:spacing w:line="360" w:lineRule="auto"/>
        <w:ind w:firstLine="0"/>
        <w:jc w:val="left"/>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清单参考单价</w:t>
      </w:r>
    </w:p>
    <w:sectPr>
      <w:pgSz w:w="11906" w:h="16838"/>
      <w:pgMar w:top="1134" w:right="1797" w:bottom="567" w:left="1797" w:header="851" w:footer="47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DejaVuSans">
    <w:altName w:val="宋体"/>
    <w:panose1 w:val="00000000000000000000"/>
    <w:charset w:val="86"/>
    <w:family w:val="auto"/>
    <w:pitch w:val="default"/>
    <w:sig w:usb0="00000000" w:usb1="00000000" w:usb2="00000010" w:usb3="00000000" w:csb0="00040000" w:csb1="00000000"/>
  </w:font>
  <w:font w:name="MS Gothic">
    <w:panose1 w:val="020B0609070205080204"/>
    <w:charset w:val="80"/>
    <w:family w:val="modern"/>
    <w:pitch w:val="default"/>
    <w:sig w:usb0="E00002FF" w:usb1="6AC7FDFB" w:usb2="00000012" w:usb3="00000000" w:csb0="4002009F" w:csb1="DFD7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8D018E"/>
    <w:multiLevelType w:val="singleLevel"/>
    <w:tmpl w:val="808D018E"/>
    <w:lvl w:ilvl="0" w:tentative="0">
      <w:start w:val="1"/>
      <w:numFmt w:val="decimal"/>
      <w:lvlText w:val="%1."/>
      <w:lvlJc w:val="left"/>
      <w:pPr>
        <w:ind w:left="425" w:hanging="425"/>
      </w:pPr>
      <w:rPr>
        <w:rFonts w:hint="default"/>
      </w:rPr>
    </w:lvl>
  </w:abstractNum>
  <w:abstractNum w:abstractNumId="1">
    <w:nsid w:val="82A2C5D1"/>
    <w:multiLevelType w:val="singleLevel"/>
    <w:tmpl w:val="82A2C5D1"/>
    <w:lvl w:ilvl="0" w:tentative="0">
      <w:start w:val="1"/>
      <w:numFmt w:val="decimal"/>
      <w:lvlText w:val="(%1)"/>
      <w:lvlJc w:val="left"/>
      <w:pPr>
        <w:ind w:left="425" w:hanging="425"/>
      </w:pPr>
      <w:rPr>
        <w:rFonts w:hint="default"/>
      </w:rPr>
    </w:lvl>
  </w:abstractNum>
  <w:abstractNum w:abstractNumId="2">
    <w:nsid w:val="8AA3DF70"/>
    <w:multiLevelType w:val="singleLevel"/>
    <w:tmpl w:val="8AA3DF70"/>
    <w:lvl w:ilvl="0" w:tentative="0">
      <w:start w:val="1"/>
      <w:numFmt w:val="decimal"/>
      <w:lvlText w:val="%1."/>
      <w:lvlJc w:val="left"/>
      <w:pPr>
        <w:ind w:left="425" w:hanging="425"/>
      </w:pPr>
      <w:rPr>
        <w:rFonts w:hint="default"/>
      </w:rPr>
    </w:lvl>
  </w:abstractNum>
  <w:abstractNum w:abstractNumId="3">
    <w:nsid w:val="A361A161"/>
    <w:multiLevelType w:val="singleLevel"/>
    <w:tmpl w:val="A361A161"/>
    <w:lvl w:ilvl="0" w:tentative="0">
      <w:start w:val="1"/>
      <w:numFmt w:val="chineseCounting"/>
      <w:suff w:val="nothing"/>
      <w:lvlText w:val="（%1）"/>
      <w:lvlJc w:val="left"/>
      <w:pPr>
        <w:ind w:left="0" w:firstLine="420"/>
      </w:pPr>
      <w:rPr>
        <w:rFonts w:hint="eastAsia"/>
      </w:rPr>
    </w:lvl>
  </w:abstractNum>
  <w:abstractNum w:abstractNumId="4">
    <w:nsid w:val="C5983841"/>
    <w:multiLevelType w:val="singleLevel"/>
    <w:tmpl w:val="C5983841"/>
    <w:lvl w:ilvl="0" w:tentative="0">
      <w:start w:val="1"/>
      <w:numFmt w:val="chineseCounting"/>
      <w:suff w:val="nothing"/>
      <w:lvlText w:val="（%1）"/>
      <w:lvlJc w:val="left"/>
      <w:pPr>
        <w:ind w:left="0" w:firstLine="420"/>
      </w:pPr>
      <w:rPr>
        <w:rFonts w:hint="eastAsia"/>
      </w:rPr>
    </w:lvl>
  </w:abstractNum>
  <w:abstractNum w:abstractNumId="5">
    <w:nsid w:val="D3D51893"/>
    <w:multiLevelType w:val="singleLevel"/>
    <w:tmpl w:val="D3D51893"/>
    <w:lvl w:ilvl="0" w:tentative="0">
      <w:start w:val="1"/>
      <w:numFmt w:val="chineseCounting"/>
      <w:suff w:val="nothing"/>
      <w:lvlText w:val="%1、"/>
      <w:lvlJc w:val="left"/>
      <w:rPr>
        <w:rFonts w:hint="eastAsia"/>
      </w:rPr>
    </w:lvl>
  </w:abstractNum>
  <w:abstractNum w:abstractNumId="6">
    <w:nsid w:val="204A983E"/>
    <w:multiLevelType w:val="singleLevel"/>
    <w:tmpl w:val="204A983E"/>
    <w:lvl w:ilvl="0" w:tentative="0">
      <w:start w:val="1"/>
      <w:numFmt w:val="chineseCounting"/>
      <w:suff w:val="nothing"/>
      <w:lvlText w:val="（%1）"/>
      <w:lvlJc w:val="left"/>
      <w:pPr>
        <w:ind w:left="0" w:firstLine="420"/>
      </w:pPr>
      <w:rPr>
        <w:rFonts w:hint="eastAsia"/>
      </w:rPr>
    </w:lvl>
  </w:abstractNum>
  <w:abstractNum w:abstractNumId="7">
    <w:nsid w:val="3C676319"/>
    <w:multiLevelType w:val="singleLevel"/>
    <w:tmpl w:val="3C676319"/>
    <w:lvl w:ilvl="0" w:tentative="0">
      <w:start w:val="1"/>
      <w:numFmt w:val="decimal"/>
      <w:lvlText w:val="%1."/>
      <w:lvlJc w:val="left"/>
      <w:pPr>
        <w:ind w:left="425" w:hanging="425"/>
      </w:pPr>
      <w:rPr>
        <w:rFonts w:hint="default"/>
      </w:rPr>
    </w:lvl>
  </w:abstractNum>
  <w:abstractNum w:abstractNumId="8">
    <w:nsid w:val="3D45805A"/>
    <w:multiLevelType w:val="singleLevel"/>
    <w:tmpl w:val="3D45805A"/>
    <w:lvl w:ilvl="0" w:tentative="0">
      <w:start w:val="1"/>
      <w:numFmt w:val="decimal"/>
      <w:lvlText w:val="%1."/>
      <w:lvlJc w:val="left"/>
      <w:pPr>
        <w:ind w:left="425" w:hanging="425"/>
      </w:pPr>
      <w:rPr>
        <w:rFonts w:hint="default"/>
      </w:rPr>
    </w:lvl>
  </w:abstractNum>
  <w:abstractNum w:abstractNumId="9">
    <w:nsid w:val="4B26610C"/>
    <w:multiLevelType w:val="singleLevel"/>
    <w:tmpl w:val="4B26610C"/>
    <w:lvl w:ilvl="0" w:tentative="0">
      <w:start w:val="1"/>
      <w:numFmt w:val="chineseCounting"/>
      <w:suff w:val="nothing"/>
      <w:lvlText w:val="（%1）"/>
      <w:lvlJc w:val="left"/>
      <w:pPr>
        <w:ind w:left="0" w:firstLine="420"/>
      </w:pPr>
      <w:rPr>
        <w:rFonts w:hint="eastAsia"/>
      </w:rPr>
    </w:lvl>
  </w:abstractNum>
  <w:abstractNum w:abstractNumId="10">
    <w:nsid w:val="5370311E"/>
    <w:multiLevelType w:val="singleLevel"/>
    <w:tmpl w:val="5370311E"/>
    <w:lvl w:ilvl="0" w:tentative="0">
      <w:start w:val="1"/>
      <w:numFmt w:val="decimal"/>
      <w:lvlText w:val="(%1)"/>
      <w:lvlJc w:val="left"/>
      <w:pPr>
        <w:ind w:left="425" w:hanging="425"/>
      </w:pPr>
      <w:rPr>
        <w:rFonts w:hint="default"/>
      </w:rPr>
    </w:lvl>
  </w:abstractNum>
  <w:abstractNum w:abstractNumId="11">
    <w:nsid w:val="55525579"/>
    <w:multiLevelType w:val="singleLevel"/>
    <w:tmpl w:val="55525579"/>
    <w:lvl w:ilvl="0" w:tentative="0">
      <w:start w:val="1"/>
      <w:numFmt w:val="decimal"/>
      <w:lvlText w:val="%1."/>
      <w:lvlJc w:val="left"/>
      <w:pPr>
        <w:ind w:left="425" w:hanging="425"/>
      </w:pPr>
      <w:rPr>
        <w:rFonts w:hint="default"/>
      </w:rPr>
    </w:lvl>
  </w:abstractNum>
  <w:abstractNum w:abstractNumId="12">
    <w:nsid w:val="5E9A630F"/>
    <w:multiLevelType w:val="singleLevel"/>
    <w:tmpl w:val="5E9A630F"/>
    <w:lvl w:ilvl="0" w:tentative="0">
      <w:start w:val="1"/>
      <w:numFmt w:val="chineseCounting"/>
      <w:suff w:val="nothing"/>
      <w:lvlText w:val="（%1）"/>
      <w:lvlJc w:val="left"/>
      <w:pPr>
        <w:ind w:left="0" w:firstLine="420"/>
      </w:pPr>
      <w:rPr>
        <w:rFonts w:hint="eastAsia"/>
      </w:rPr>
    </w:lvl>
  </w:abstractNum>
  <w:abstractNum w:abstractNumId="13">
    <w:nsid w:val="6ECE673D"/>
    <w:multiLevelType w:val="singleLevel"/>
    <w:tmpl w:val="6ECE673D"/>
    <w:lvl w:ilvl="0" w:tentative="0">
      <w:start w:val="1"/>
      <w:numFmt w:val="decimal"/>
      <w:lvlText w:val="%1."/>
      <w:lvlJc w:val="left"/>
      <w:pPr>
        <w:ind w:left="425" w:hanging="425"/>
      </w:pPr>
      <w:rPr>
        <w:rFonts w:hint="default"/>
      </w:rPr>
    </w:lvl>
  </w:abstractNum>
  <w:abstractNum w:abstractNumId="14">
    <w:nsid w:val="70AE04D6"/>
    <w:multiLevelType w:val="singleLevel"/>
    <w:tmpl w:val="70AE04D6"/>
    <w:lvl w:ilvl="0" w:tentative="0">
      <w:start w:val="1"/>
      <w:numFmt w:val="decimal"/>
      <w:lvlText w:val="(%1)"/>
      <w:lvlJc w:val="left"/>
      <w:pPr>
        <w:ind w:left="425" w:hanging="425"/>
      </w:pPr>
      <w:rPr>
        <w:rFonts w:hint="default"/>
      </w:rPr>
    </w:lvl>
  </w:abstractNum>
  <w:abstractNum w:abstractNumId="15">
    <w:nsid w:val="78F07B2C"/>
    <w:multiLevelType w:val="singleLevel"/>
    <w:tmpl w:val="78F07B2C"/>
    <w:lvl w:ilvl="0" w:tentative="0">
      <w:start w:val="1"/>
      <w:numFmt w:val="chineseCounting"/>
      <w:suff w:val="nothing"/>
      <w:lvlText w:val="（%1）"/>
      <w:lvlJc w:val="left"/>
      <w:pPr>
        <w:ind w:left="0" w:firstLine="420"/>
      </w:pPr>
      <w:rPr>
        <w:rFonts w:hint="eastAsia"/>
      </w:rPr>
    </w:lvl>
  </w:abstractNum>
  <w:abstractNum w:abstractNumId="16">
    <w:nsid w:val="7A76AAF7"/>
    <w:multiLevelType w:val="singleLevel"/>
    <w:tmpl w:val="7A76AAF7"/>
    <w:lvl w:ilvl="0" w:tentative="0">
      <w:start w:val="1"/>
      <w:numFmt w:val="decimal"/>
      <w:lvlText w:val="%1."/>
      <w:lvlJc w:val="left"/>
      <w:pPr>
        <w:ind w:left="425" w:hanging="425"/>
      </w:pPr>
      <w:rPr>
        <w:rFonts w:hint="default"/>
      </w:rPr>
    </w:lvl>
  </w:abstractNum>
  <w:num w:numId="1">
    <w:abstractNumId w:val="4"/>
  </w:num>
  <w:num w:numId="2">
    <w:abstractNumId w:val="15"/>
  </w:num>
  <w:num w:numId="3">
    <w:abstractNumId w:val="3"/>
  </w:num>
  <w:num w:numId="4">
    <w:abstractNumId w:val="2"/>
  </w:num>
  <w:num w:numId="5">
    <w:abstractNumId w:val="8"/>
  </w:num>
  <w:num w:numId="6">
    <w:abstractNumId w:val="11"/>
  </w:num>
  <w:num w:numId="7">
    <w:abstractNumId w:val="0"/>
  </w:num>
  <w:num w:numId="8">
    <w:abstractNumId w:val="13"/>
  </w:num>
  <w:num w:numId="9">
    <w:abstractNumId w:val="1"/>
  </w:num>
  <w:num w:numId="10">
    <w:abstractNumId w:val="14"/>
  </w:num>
  <w:num w:numId="11">
    <w:abstractNumId w:val="9"/>
  </w:num>
  <w:num w:numId="12">
    <w:abstractNumId w:val="7"/>
  </w:num>
  <w:num w:numId="13">
    <w:abstractNumId w:val="10"/>
  </w:num>
  <w:num w:numId="14">
    <w:abstractNumId w:val="12"/>
  </w:num>
  <w:num w:numId="15">
    <w:abstractNumId w:val="6"/>
  </w:num>
  <w:num w:numId="16">
    <w:abstractNumId w:val="1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AFF"/>
    <w:rsid w:val="00023F12"/>
    <w:rsid w:val="0004016D"/>
    <w:rsid w:val="000457A8"/>
    <w:rsid w:val="000B4519"/>
    <w:rsid w:val="00172EE1"/>
    <w:rsid w:val="001938E2"/>
    <w:rsid w:val="001C7F22"/>
    <w:rsid w:val="001F3BD7"/>
    <w:rsid w:val="002C1DCD"/>
    <w:rsid w:val="003139E9"/>
    <w:rsid w:val="00343AE1"/>
    <w:rsid w:val="00344124"/>
    <w:rsid w:val="00366490"/>
    <w:rsid w:val="003C48B6"/>
    <w:rsid w:val="00482F7A"/>
    <w:rsid w:val="004B22B3"/>
    <w:rsid w:val="004B5711"/>
    <w:rsid w:val="004C49B5"/>
    <w:rsid w:val="0059450A"/>
    <w:rsid w:val="006269F6"/>
    <w:rsid w:val="00640186"/>
    <w:rsid w:val="00664033"/>
    <w:rsid w:val="006B1E36"/>
    <w:rsid w:val="006C702E"/>
    <w:rsid w:val="008147D1"/>
    <w:rsid w:val="00815BA2"/>
    <w:rsid w:val="00883B0C"/>
    <w:rsid w:val="00893DD4"/>
    <w:rsid w:val="00895ED6"/>
    <w:rsid w:val="008A010E"/>
    <w:rsid w:val="00916E7F"/>
    <w:rsid w:val="009928EF"/>
    <w:rsid w:val="00A6218A"/>
    <w:rsid w:val="00AC564D"/>
    <w:rsid w:val="00AC63AD"/>
    <w:rsid w:val="00AE6DEF"/>
    <w:rsid w:val="00B04B8A"/>
    <w:rsid w:val="00B210D3"/>
    <w:rsid w:val="00B221F2"/>
    <w:rsid w:val="00BA7A10"/>
    <w:rsid w:val="00BB1404"/>
    <w:rsid w:val="00C450EB"/>
    <w:rsid w:val="00CE3B64"/>
    <w:rsid w:val="00D22641"/>
    <w:rsid w:val="00D62242"/>
    <w:rsid w:val="00D82C3F"/>
    <w:rsid w:val="00DA03A7"/>
    <w:rsid w:val="00DF2CDE"/>
    <w:rsid w:val="00E125C4"/>
    <w:rsid w:val="00E15AFF"/>
    <w:rsid w:val="00EF7FD1"/>
    <w:rsid w:val="00F355AC"/>
    <w:rsid w:val="00F50D61"/>
    <w:rsid w:val="00F85ABF"/>
    <w:rsid w:val="00FE7151"/>
    <w:rsid w:val="035FFF83"/>
    <w:rsid w:val="04251E26"/>
    <w:rsid w:val="042E645D"/>
    <w:rsid w:val="0E3E79DA"/>
    <w:rsid w:val="18C255C2"/>
    <w:rsid w:val="1CFBC493"/>
    <w:rsid w:val="2F7C157D"/>
    <w:rsid w:val="3AC4743B"/>
    <w:rsid w:val="3CDF752C"/>
    <w:rsid w:val="3D5DC12D"/>
    <w:rsid w:val="464C0F6A"/>
    <w:rsid w:val="47EF7189"/>
    <w:rsid w:val="48DD780A"/>
    <w:rsid w:val="540D7FA0"/>
    <w:rsid w:val="59C542FB"/>
    <w:rsid w:val="5E9BC87A"/>
    <w:rsid w:val="5EEED6C7"/>
    <w:rsid w:val="5F6F14D1"/>
    <w:rsid w:val="65FF37E2"/>
    <w:rsid w:val="6B7DD359"/>
    <w:rsid w:val="6D3D6CD2"/>
    <w:rsid w:val="6FDB5510"/>
    <w:rsid w:val="71B71645"/>
    <w:rsid w:val="71FD6B15"/>
    <w:rsid w:val="72DD4D16"/>
    <w:rsid w:val="73DE66B6"/>
    <w:rsid w:val="76DCB348"/>
    <w:rsid w:val="7B7B247C"/>
    <w:rsid w:val="7CAE1911"/>
    <w:rsid w:val="7DF336ED"/>
    <w:rsid w:val="7EBDCEBB"/>
    <w:rsid w:val="7ED7BCFE"/>
    <w:rsid w:val="7F7DA54C"/>
    <w:rsid w:val="7FBF89E8"/>
    <w:rsid w:val="7FE24BCC"/>
    <w:rsid w:val="7FE2F591"/>
    <w:rsid w:val="9A7FECFB"/>
    <w:rsid w:val="BDFB73B7"/>
    <w:rsid w:val="BFFF1BC1"/>
    <w:rsid w:val="C57B9ECC"/>
    <w:rsid w:val="C7FB6C7A"/>
    <w:rsid w:val="D3A76386"/>
    <w:rsid w:val="D7BFDA72"/>
    <w:rsid w:val="DBC7FC3E"/>
    <w:rsid w:val="DDAA1274"/>
    <w:rsid w:val="DFBE99B3"/>
    <w:rsid w:val="E8672F3E"/>
    <w:rsid w:val="ECC7E3E6"/>
    <w:rsid w:val="EEDE7FE5"/>
    <w:rsid w:val="EF9F3785"/>
    <w:rsid w:val="EFFF84BB"/>
    <w:rsid w:val="F5E88DE3"/>
    <w:rsid w:val="F6F3BE4E"/>
    <w:rsid w:val="FBAB63A0"/>
    <w:rsid w:val="FBE5480B"/>
    <w:rsid w:val="FBFB3950"/>
    <w:rsid w:val="FBFEFB24"/>
    <w:rsid w:val="FCF17405"/>
    <w:rsid w:val="FECE3686"/>
    <w:rsid w:val="FF6FE581"/>
    <w:rsid w:val="FFDF1F6E"/>
    <w:rsid w:val="FFEB419C"/>
    <w:rsid w:val="FFEDD5D3"/>
    <w:rsid w:val="FFF9EE9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99"/>
    <w:pPr>
      <w:jc w:val="left"/>
    </w:pPr>
  </w:style>
  <w:style w:type="paragraph" w:styleId="3">
    <w:name w:val="Balloon Text"/>
    <w:basedOn w:val="1"/>
    <w:link w:val="15"/>
    <w:qFormat/>
    <w:uiPriority w:val="99"/>
    <w:rPr>
      <w:sz w:val="18"/>
      <w:szCs w:val="18"/>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rPr>
      <w:sz w:val="24"/>
    </w:rPr>
  </w:style>
  <w:style w:type="paragraph" w:styleId="7">
    <w:name w:val="annotation subject"/>
    <w:basedOn w:val="2"/>
    <w:next w:val="2"/>
    <w:link w:val="14"/>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批注文字 字符"/>
    <w:basedOn w:val="10"/>
    <w:link w:val="2"/>
    <w:qFormat/>
    <w:uiPriority w:val="99"/>
  </w:style>
  <w:style w:type="character" w:customStyle="1" w:styleId="14">
    <w:name w:val="批注主题 字符"/>
    <w:basedOn w:val="13"/>
    <w:link w:val="7"/>
    <w:qFormat/>
    <w:uiPriority w:val="99"/>
    <w:rPr>
      <w:b/>
      <w:bCs/>
    </w:rPr>
  </w:style>
  <w:style w:type="character" w:customStyle="1" w:styleId="15">
    <w:name w:val="批注框文本 字符"/>
    <w:basedOn w:val="10"/>
    <w:link w:val="3"/>
    <w:qFormat/>
    <w:uiPriority w:val="99"/>
    <w:rPr>
      <w:sz w:val="18"/>
      <w:szCs w:val="18"/>
    </w:rPr>
  </w:style>
  <w:style w:type="character" w:customStyle="1" w:styleId="16">
    <w:name w:val="页眉 字符"/>
    <w:basedOn w:val="10"/>
    <w:link w:val="5"/>
    <w:qFormat/>
    <w:uiPriority w:val="99"/>
    <w:rPr>
      <w:sz w:val="18"/>
      <w:szCs w:val="18"/>
    </w:rPr>
  </w:style>
  <w:style w:type="character" w:customStyle="1" w:styleId="17">
    <w:name w:val="页脚 字符"/>
    <w:basedOn w:val="10"/>
    <w:link w:val="4"/>
    <w:qFormat/>
    <w:uiPriority w:val="99"/>
    <w:rPr>
      <w:sz w:val="18"/>
      <w:szCs w:val="18"/>
    </w:rPr>
  </w:style>
  <w:style w:type="paragraph" w:customStyle="1" w:styleId="18">
    <w:name w:val="Revision"/>
    <w:hidden/>
    <w:semiHidden/>
    <w:qFormat/>
    <w:uiPriority w:val="99"/>
    <w:rPr>
      <w:rFonts w:ascii="等线" w:hAnsi="等线" w:eastAsia="等线" w:cs="宋体"/>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80991DE2-4E65-4E84-B61C-59C3CFE40680}">
  <ds:schemaRefs/>
</ds:datastoreItem>
</file>

<file path=docProps/app.xml><?xml version="1.0" encoding="utf-8"?>
<Properties xmlns="http://schemas.openxmlformats.org/officeDocument/2006/extended-properties" xmlns:vt="http://schemas.openxmlformats.org/officeDocument/2006/docPropsVTypes">
  <Company>神州网信技术有限公司</Company>
  <Pages>6</Pages>
  <Words>1851</Words>
  <Characters>1880</Characters>
  <Lines>1</Lines>
  <Paragraphs>1</Paragraphs>
  <TotalTime>28</TotalTime>
  <ScaleCrop>false</ScaleCrop>
  <LinksUpToDate>false</LinksUpToDate>
  <CharactersWithSpaces>1880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2026-04-16T08:29:00Z</dcterms:created>
  <dc:creator>111</dc:creator>
  <cp:lastModifiedBy>肖翔</cp:lastModifiedBy>
  <dcterms:modified xsi:type="dcterms:W3CDTF">2026-05-11T09:13:48Z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f14e09b631c340c8a73b6d3f68246605</vt:lpwstr>
  </property>
  <property fmtid="{D5CDD505-2E9C-101B-9397-08002B2CF9AE}" pid="3" name="KSOProductBuildVer">
    <vt:lpwstr>2052-12.1.0.25222</vt:lpwstr>
  </property>
  <property fmtid="{D5CDD505-2E9C-101B-9397-08002B2CF9AE}" pid="4" name="KSOTemplateDocerSaveRecord">
    <vt:lpwstr>eyJoZGlkIjoiMjVlYTZlZWQ5Yjg4MDQ0MDA4NWJlYWRhNmI5YzFmMGYiLCJ1c2VySWQiOiIxODA2MzU4NDY2In0=</vt:lpwstr>
  </property>
</Properties>
</file>