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inorEastAsia" w:hAnsiTheme="minorEastAsia" w:eastAsiaTheme="minorEastAsia"/>
          <w:color w:val="000000"/>
          <w:sz w:val="44"/>
        </w:rPr>
      </w:pPr>
      <w:bookmarkStart w:id="51" w:name="_GoBack"/>
      <w:bookmarkEnd w:id="51"/>
    </w:p>
    <w:p>
      <w:pPr>
        <w:pStyle w:val="5"/>
        <w:rPr>
          <w:rFonts w:asciiTheme="minorEastAsia" w:hAnsiTheme="minorEastAsia" w:eastAsiaTheme="minorEastAsia"/>
          <w:color w:val="000000"/>
          <w:sz w:val="44"/>
        </w:rPr>
      </w:pPr>
    </w:p>
    <w:p>
      <w:pPr>
        <w:pStyle w:val="5"/>
        <w:rPr>
          <w:rFonts w:asciiTheme="minorEastAsia" w:hAnsiTheme="minorEastAsia" w:eastAsiaTheme="minorEastAsia"/>
          <w:color w:val="000000"/>
          <w:sz w:val="44"/>
        </w:rPr>
      </w:pPr>
    </w:p>
    <w:p>
      <w:pPr>
        <w:pStyle w:val="33"/>
        <w:widowControl w:val="0"/>
        <w:spacing w:before="0" w:beforeAutospacing="0" w:after="120" w:afterAutospacing="0" w:line="480" w:lineRule="auto"/>
        <w:jc w:val="center"/>
        <w:rPr>
          <w:rFonts w:hint="eastAsia" w:asciiTheme="minorEastAsia" w:hAnsiTheme="minorEastAsia" w:eastAsiaTheme="minorEastAsia"/>
          <w:sz w:val="52"/>
          <w:lang w:eastAsia="zh-CN"/>
        </w:rPr>
      </w:pPr>
      <w:r>
        <w:rPr>
          <w:rFonts w:hint="eastAsia" w:asciiTheme="minorEastAsia" w:hAnsiTheme="minorEastAsia" w:eastAsiaTheme="minorEastAsia"/>
          <w:sz w:val="52"/>
          <w:lang w:eastAsia="zh-CN"/>
        </w:rPr>
        <w:t>广州医科大学附属番禺中心医院医疗集团可回收物服务项目（</w:t>
      </w:r>
      <w:r>
        <w:rPr>
          <w:rFonts w:hint="eastAsia" w:asciiTheme="minorEastAsia" w:hAnsiTheme="minorEastAsia" w:eastAsiaTheme="minorEastAsia"/>
          <w:sz w:val="52"/>
          <w:lang w:val="en-US" w:eastAsia="zh-CN"/>
        </w:rPr>
        <w:t>三次</w:t>
      </w:r>
      <w:r>
        <w:rPr>
          <w:rFonts w:hint="eastAsia" w:asciiTheme="minorEastAsia" w:hAnsiTheme="minorEastAsia" w:eastAsiaTheme="minorEastAsia"/>
          <w:sz w:val="52"/>
          <w:lang w:eastAsia="zh-CN"/>
        </w:rPr>
        <w:t>）</w:t>
      </w:r>
    </w:p>
    <w:p>
      <w:pPr>
        <w:pStyle w:val="33"/>
        <w:widowControl w:val="0"/>
        <w:spacing w:before="0" w:beforeAutospacing="0" w:after="120" w:afterAutospacing="0" w:line="480" w:lineRule="auto"/>
        <w:jc w:val="center"/>
        <w:rPr>
          <w:rFonts w:cs="宋体"/>
          <w:sz w:val="52"/>
        </w:rPr>
      </w:pPr>
      <w:r>
        <w:rPr>
          <w:rFonts w:hint="eastAsia" w:cs="宋体"/>
          <w:kern w:val="2"/>
          <w:sz w:val="52"/>
          <w:lang w:bidi="ar"/>
        </w:rPr>
        <w:t>（询比编号：CG-XBLX-202604-01</w:t>
      </w:r>
      <w:r>
        <w:rPr>
          <w:rFonts w:cs="宋体"/>
          <w:kern w:val="2"/>
          <w:sz w:val="52"/>
          <w:lang w:bidi="ar"/>
        </w:rPr>
        <w:t xml:space="preserve"> </w:t>
      </w:r>
      <w:r>
        <w:rPr>
          <w:rFonts w:hint="eastAsia" w:cs="宋体"/>
          <w:sz w:val="52"/>
        </w:rPr>
        <w:t>）</w:t>
      </w:r>
    </w:p>
    <w:p>
      <w:pPr>
        <w:jc w:val="center"/>
        <w:rPr>
          <w:rFonts w:asciiTheme="minorEastAsia" w:hAnsiTheme="minorEastAsia" w:eastAsiaTheme="minorEastAsia"/>
          <w:sz w:val="44"/>
        </w:rPr>
      </w:pPr>
    </w:p>
    <w:p>
      <w:pPr>
        <w:pStyle w:val="5"/>
        <w:jc w:val="center"/>
        <w:rPr>
          <w:rFonts w:asciiTheme="minorEastAsia" w:hAnsiTheme="minorEastAsia" w:eastAsiaTheme="minorEastAsia"/>
          <w:b/>
          <w:sz w:val="56"/>
        </w:rPr>
      </w:pPr>
      <w:r>
        <w:rPr>
          <w:rFonts w:hint="eastAsia" w:asciiTheme="minorEastAsia" w:hAnsiTheme="minorEastAsia" w:eastAsiaTheme="minorEastAsia"/>
          <w:b/>
          <w:sz w:val="56"/>
        </w:rPr>
        <w:t>询比文件</w:t>
      </w:r>
    </w:p>
    <w:p>
      <w:pPr>
        <w:jc w:val="center"/>
        <w:rPr>
          <w:rFonts w:asciiTheme="minorEastAsia" w:hAnsiTheme="minorEastAsia" w:eastAsiaTheme="minorEastAsia"/>
          <w:sz w:val="32"/>
        </w:rPr>
      </w:pPr>
    </w:p>
    <w:p>
      <w:pPr>
        <w:jc w:val="center"/>
        <w:rPr>
          <w:rFonts w:asciiTheme="minorEastAsia" w:hAnsiTheme="minorEastAsia" w:eastAsiaTheme="minorEastAsia"/>
          <w:sz w:val="32"/>
        </w:rPr>
      </w:pPr>
    </w:p>
    <w:p>
      <w:pPr>
        <w:jc w:val="center"/>
        <w:rPr>
          <w:rFonts w:asciiTheme="minorEastAsia" w:hAnsiTheme="minorEastAsia" w:eastAsiaTheme="minorEastAsia"/>
          <w:sz w:val="32"/>
        </w:rPr>
      </w:pPr>
    </w:p>
    <w:p>
      <w:pPr>
        <w:jc w:val="center"/>
        <w:rPr>
          <w:rFonts w:asciiTheme="minorEastAsia" w:hAnsiTheme="minorEastAsia" w:eastAsiaTheme="minorEastAsia"/>
          <w:sz w:val="32"/>
        </w:rPr>
      </w:pPr>
    </w:p>
    <w:p>
      <w:pPr>
        <w:pStyle w:val="5"/>
        <w:rPr>
          <w:rFonts w:asciiTheme="minorEastAsia" w:hAnsiTheme="minorEastAsia" w:eastAsiaTheme="minorEastAsia"/>
          <w:sz w:val="32"/>
        </w:rPr>
      </w:pPr>
    </w:p>
    <w:p>
      <w:pPr>
        <w:pStyle w:val="5"/>
        <w:rPr>
          <w:rFonts w:asciiTheme="minorEastAsia" w:hAnsiTheme="minorEastAsia" w:eastAsiaTheme="minorEastAsia"/>
          <w:sz w:val="32"/>
        </w:rPr>
      </w:pPr>
    </w:p>
    <w:p>
      <w:pPr>
        <w:pStyle w:val="5"/>
        <w:rPr>
          <w:rFonts w:asciiTheme="minorEastAsia" w:hAnsiTheme="minorEastAsia" w:eastAsiaTheme="minorEastAsia"/>
          <w:sz w:val="32"/>
        </w:rPr>
      </w:pPr>
    </w:p>
    <w:p>
      <w:pPr>
        <w:rPr>
          <w:rFonts w:asciiTheme="minorEastAsia" w:hAnsiTheme="minorEastAsia" w:eastAsiaTheme="minorEastAsia"/>
          <w:sz w:val="32"/>
        </w:rPr>
      </w:pPr>
    </w:p>
    <w:p>
      <w:pPr>
        <w:jc w:val="center"/>
        <w:rPr>
          <w:rFonts w:asciiTheme="minorEastAsia" w:hAnsiTheme="minorEastAsia" w:eastAsiaTheme="minorEastAsia"/>
          <w:sz w:val="32"/>
        </w:rPr>
      </w:pPr>
    </w:p>
    <w:p>
      <w:pPr>
        <w:jc w:val="center"/>
        <w:rPr>
          <w:rFonts w:asciiTheme="minorEastAsia" w:hAnsiTheme="minorEastAsia" w:eastAsiaTheme="minorEastAsia"/>
          <w:b/>
          <w:sz w:val="32"/>
        </w:rPr>
      </w:pPr>
      <w:r>
        <w:rPr>
          <w:rFonts w:hint="eastAsia" w:asciiTheme="minorEastAsia" w:hAnsiTheme="minorEastAsia" w:eastAsiaTheme="minorEastAsia"/>
          <w:sz w:val="32"/>
        </w:rPr>
        <w:t>2026</w:t>
      </w:r>
      <w:r>
        <w:rPr>
          <w:rFonts w:hint="eastAsia" w:cs="楷体_GB2312" w:asciiTheme="minorEastAsia" w:hAnsiTheme="minorEastAsia" w:eastAsiaTheme="minorEastAsia"/>
          <w:sz w:val="32"/>
        </w:rPr>
        <w:t>年</w:t>
      </w:r>
      <w:r>
        <w:rPr>
          <w:rFonts w:cs="楷体_GB2312" w:asciiTheme="minorEastAsia" w:hAnsiTheme="minorEastAsia" w:eastAsiaTheme="minorEastAsia"/>
          <w:sz w:val="32"/>
        </w:rPr>
        <w:t>5</w:t>
      </w:r>
      <w:r>
        <w:rPr>
          <w:rFonts w:hint="eastAsia" w:asciiTheme="minorEastAsia" w:hAnsiTheme="minorEastAsia" w:eastAsiaTheme="minorEastAsia"/>
          <w:sz w:val="32"/>
        </w:rPr>
        <w:t>月</w:t>
      </w:r>
    </w:p>
    <w:p>
      <w:pPr>
        <w:jc w:val="center"/>
        <w:rPr>
          <w:rFonts w:asciiTheme="minorEastAsia" w:hAnsiTheme="minorEastAsia" w:eastAsiaTheme="minorEastAsia"/>
          <w:b/>
          <w:sz w:val="44"/>
        </w:rPr>
      </w:pPr>
      <w:r>
        <w:rPr>
          <w:rFonts w:asciiTheme="minorEastAsia" w:hAnsiTheme="minorEastAsia" w:eastAsiaTheme="minorEastAsia"/>
          <w:sz w:val="44"/>
        </w:rPr>
        <w:br w:type="page"/>
      </w:r>
      <w:r>
        <w:rPr>
          <w:rFonts w:hint="eastAsia" w:asciiTheme="minorEastAsia" w:hAnsiTheme="minorEastAsia" w:eastAsiaTheme="minorEastAsia"/>
          <w:b/>
          <w:sz w:val="44"/>
        </w:rPr>
        <w:t>目    录</w:t>
      </w:r>
    </w:p>
    <w:p>
      <w:pPr>
        <w:ind w:left="1470"/>
        <w:jc w:val="left"/>
        <w:rPr>
          <w:rFonts w:asciiTheme="minorEastAsia" w:hAnsiTheme="minorEastAsia" w:eastAsiaTheme="minorEastAsia"/>
          <w:sz w:val="44"/>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第一部分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询比邀请</w:t>
      </w:r>
    </w:p>
    <w:p>
      <w:pPr>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第二部分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供应商须知</w:t>
      </w:r>
    </w:p>
    <w:p>
      <w:pPr>
        <w:ind w:left="1470"/>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第三部分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用户需求书</w:t>
      </w:r>
    </w:p>
    <w:p>
      <w:pPr>
        <w:pStyle w:val="5"/>
        <w:rPr>
          <w:rFonts w:asciiTheme="minorEastAsia" w:hAnsiTheme="minorEastAsia" w:eastAsiaTheme="minorEastAsia"/>
          <w:b/>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第四部分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评审办法</w:t>
      </w:r>
    </w:p>
    <w:p>
      <w:pPr>
        <w:ind w:left="1470"/>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第五部分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合同书格式</w:t>
      </w:r>
    </w:p>
    <w:p>
      <w:pPr>
        <w:jc w:val="left"/>
        <w:rPr>
          <w:rFonts w:asciiTheme="minorEastAsia" w:hAnsiTheme="minorEastAsia" w:eastAsiaTheme="minorEastAsia"/>
          <w:b/>
          <w:sz w:val="32"/>
        </w:rPr>
      </w:pPr>
    </w:p>
    <w:p>
      <w:pPr>
        <w:ind w:left="1470"/>
        <w:jc w:val="left"/>
        <w:rPr>
          <w:rFonts w:asciiTheme="minorEastAsia" w:hAnsiTheme="minorEastAsia" w:eastAsiaTheme="minorEastAsia"/>
          <w:b/>
          <w:sz w:val="32"/>
        </w:rPr>
        <w:sectPr>
          <w:headerReference r:id="rId3" w:type="default"/>
          <w:footerReference r:id="rId4" w:type="even"/>
          <w:pgSz w:w="11906" w:h="16838"/>
          <w:pgMar w:top="1402" w:right="1701" w:bottom="1402" w:left="1701" w:header="735" w:footer="680" w:gutter="0"/>
          <w:pgNumType w:start="0"/>
          <w:cols w:space="720" w:num="1"/>
          <w:titlePg/>
          <w:docGrid w:type="lines" w:linePitch="312" w:charSpace="0"/>
        </w:sectPr>
      </w:pPr>
      <w:r>
        <w:rPr>
          <w:rFonts w:hint="eastAsia" w:asciiTheme="minorEastAsia" w:hAnsiTheme="minorEastAsia" w:eastAsiaTheme="minorEastAsia"/>
          <w:b/>
          <w:sz w:val="32"/>
        </w:rPr>
        <w:t xml:space="preserve">第六部分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响应文件格式</w:t>
      </w:r>
    </w:p>
    <w:p>
      <w:pPr>
        <w:pStyle w:val="145"/>
      </w:pPr>
      <w:bookmarkStart w:id="0" w:name="_Toc175644384"/>
      <w:bookmarkStart w:id="1" w:name="_Toc352669156"/>
      <w:r>
        <w:rPr>
          <w:rFonts w:hint="eastAsia"/>
        </w:rPr>
        <w:t>询比邀请</w:t>
      </w:r>
      <w:bookmarkEnd w:id="0"/>
      <w:bookmarkEnd w:id="1"/>
    </w:p>
    <w:p>
      <w:pPr>
        <w:pStyle w:val="5"/>
      </w:pPr>
    </w:p>
    <w:p>
      <w:pPr>
        <w:spacing w:line="460" w:lineRule="exact"/>
        <w:ind w:firstLine="540" w:firstLineChars="225"/>
        <w:rPr>
          <w:rFonts w:ascii="宋体" w:hAnsi="宋体"/>
          <w:sz w:val="24"/>
        </w:rPr>
      </w:pPr>
      <w:r>
        <w:rPr>
          <w:rFonts w:hint="eastAsia" w:ascii="宋体" w:hAnsi="宋体"/>
          <w:sz w:val="24"/>
          <w:u w:val="single"/>
        </w:rPr>
        <w:t>广州医科大学附属番禺中心医院</w:t>
      </w:r>
      <w:r>
        <w:rPr>
          <w:rFonts w:hint="eastAsia" w:ascii="宋体" w:hAnsi="宋体"/>
          <w:sz w:val="24"/>
        </w:rPr>
        <w:t>就</w:t>
      </w:r>
      <w:r>
        <w:rPr>
          <w:rFonts w:hint="eastAsia" w:ascii="宋体" w:hAnsi="宋体"/>
          <w:sz w:val="24"/>
          <w:lang w:eastAsia="zh-CN"/>
        </w:rPr>
        <w:t>广州医科大学附属番禺中心医院医疗集团可回收物服务项目（三次）</w:t>
      </w:r>
      <w:r>
        <w:rPr>
          <w:rFonts w:hint="eastAsia" w:ascii="宋体" w:hAnsi="宋体"/>
          <w:sz w:val="24"/>
        </w:rPr>
        <w:t>进行院内询比，邀请合格的国内供应商参加。</w:t>
      </w:r>
    </w:p>
    <w:p>
      <w:pPr>
        <w:widowControl/>
        <w:spacing w:line="460" w:lineRule="exact"/>
        <w:ind w:left="560"/>
        <w:rPr>
          <w:rFonts w:ascii="宋体" w:hAnsi="宋体"/>
          <w:b/>
          <w:sz w:val="24"/>
        </w:rPr>
      </w:pPr>
      <w:r>
        <w:rPr>
          <w:rFonts w:hint="eastAsia" w:ascii="宋体" w:hAnsi="宋体"/>
          <w:b/>
          <w:sz w:val="24"/>
        </w:rPr>
        <w:t>一、询比项目简介</w:t>
      </w:r>
    </w:p>
    <w:p>
      <w:pPr>
        <w:widowControl/>
        <w:numPr>
          <w:ilvl w:val="1"/>
          <w:numId w:val="3"/>
        </w:numPr>
        <w:spacing w:line="460" w:lineRule="exact"/>
        <w:ind w:left="0" w:firstLine="425"/>
        <w:rPr>
          <w:rFonts w:ascii="宋体" w:hAnsi="宋体"/>
          <w:sz w:val="24"/>
        </w:rPr>
      </w:pPr>
      <w:r>
        <w:rPr>
          <w:rFonts w:hint="eastAsia" w:ascii="宋体" w:hAnsi="宋体" w:cs="Arial"/>
          <w:sz w:val="24"/>
        </w:rPr>
        <w:t>项目名称：</w:t>
      </w:r>
      <w:r>
        <w:rPr>
          <w:rFonts w:hint="eastAsia" w:ascii="宋体" w:hAnsi="宋体"/>
          <w:sz w:val="24"/>
          <w:u w:val="single"/>
          <w:lang w:eastAsia="zh-CN"/>
        </w:rPr>
        <w:t>广州医科大学附属番禺中心医院医疗集团可回收物服务项目（三次）</w:t>
      </w:r>
    </w:p>
    <w:p>
      <w:pPr>
        <w:widowControl/>
        <w:numPr>
          <w:ilvl w:val="1"/>
          <w:numId w:val="3"/>
        </w:numPr>
        <w:spacing w:line="460" w:lineRule="exact"/>
        <w:ind w:left="0" w:firstLine="425"/>
        <w:rPr>
          <w:rFonts w:ascii="宋体" w:hAnsi="宋体"/>
          <w:sz w:val="24"/>
        </w:rPr>
      </w:pPr>
      <w:r>
        <w:rPr>
          <w:rFonts w:hint="eastAsia" w:ascii="宋体" w:hAnsi="宋体" w:cs="Arial"/>
          <w:sz w:val="24"/>
        </w:rPr>
        <w:t>类别：服务类</w:t>
      </w:r>
    </w:p>
    <w:p>
      <w:pPr>
        <w:widowControl/>
        <w:numPr>
          <w:ilvl w:val="1"/>
          <w:numId w:val="3"/>
        </w:numPr>
        <w:spacing w:line="460" w:lineRule="exact"/>
        <w:rPr>
          <w:rFonts w:ascii="宋体" w:hAnsi="宋体" w:cstheme="minorEastAsia"/>
          <w:bCs/>
          <w:kern w:val="0"/>
          <w:sz w:val="24"/>
        </w:rPr>
      </w:pPr>
      <w:r>
        <w:rPr>
          <w:rFonts w:hint="eastAsia" w:ascii="宋体" w:hAnsi="宋体" w:cs="Arial"/>
          <w:sz w:val="24"/>
        </w:rPr>
        <w:t>服务期：2年，合同期满或结算金额达到项目结算总额则合同终止。</w:t>
      </w:r>
    </w:p>
    <w:p>
      <w:pPr>
        <w:widowControl/>
        <w:numPr>
          <w:ilvl w:val="1"/>
          <w:numId w:val="3"/>
        </w:numPr>
        <w:spacing w:line="460" w:lineRule="exact"/>
        <w:rPr>
          <w:rFonts w:ascii="宋体" w:hAnsi="宋体"/>
          <w:b/>
          <w:sz w:val="24"/>
        </w:rPr>
      </w:pPr>
      <w:r>
        <w:rPr>
          <w:rFonts w:hint="eastAsia" w:ascii="宋体" w:hAnsi="宋体"/>
          <w:sz w:val="24"/>
        </w:rPr>
        <w:t>项目结算总额：41.75万元，其中广州医科大学附属番禺中心医院37.69万元，广州市番禺区第七人民医院4.06万元。</w:t>
      </w:r>
    </w:p>
    <w:p>
      <w:pPr>
        <w:widowControl/>
        <w:numPr>
          <w:ilvl w:val="1"/>
          <w:numId w:val="3"/>
        </w:numPr>
        <w:spacing w:line="460" w:lineRule="exact"/>
        <w:rPr>
          <w:rFonts w:ascii="宋体" w:hAnsi="宋体"/>
          <w:b/>
          <w:sz w:val="24"/>
        </w:rPr>
      </w:pPr>
      <w:r>
        <w:rPr>
          <w:rFonts w:hint="eastAsia" w:ascii="宋体" w:hAnsi="宋体"/>
          <w:sz w:val="24"/>
        </w:rPr>
        <w:t>评审方法：</w:t>
      </w:r>
      <w:r>
        <w:rPr>
          <w:rFonts w:hint="eastAsia" w:ascii="宋体" w:hAnsi="宋体"/>
          <w:b/>
          <w:sz w:val="24"/>
        </w:rPr>
        <w:t>综合评分最高者为成交候选人。如出现符合资格条件的响应供应商或者对采购文件作实质响应的有效响应供应商不足三家的情况将作废处理。由于本项目为第</w:t>
      </w:r>
      <w:r>
        <w:rPr>
          <w:rFonts w:hint="eastAsia" w:ascii="宋体" w:hAnsi="宋体"/>
          <w:b/>
          <w:sz w:val="24"/>
          <w:lang w:eastAsia="zh-CN"/>
        </w:rPr>
        <w:t>三次</w:t>
      </w:r>
      <w:r>
        <w:rPr>
          <w:rFonts w:hint="eastAsia" w:ascii="宋体" w:hAnsi="宋体"/>
          <w:b/>
          <w:sz w:val="24"/>
        </w:rPr>
        <w:t>组织院内询比，</w:t>
      </w:r>
      <w:r>
        <w:rPr>
          <w:rFonts w:hint="eastAsia" w:ascii="宋体" w:hAnsi="宋体"/>
          <w:b/>
          <w:sz w:val="24"/>
          <w:lang w:val="en-US" w:eastAsia="zh-CN"/>
        </w:rPr>
        <w:t>如</w:t>
      </w:r>
      <w:r>
        <w:rPr>
          <w:rFonts w:hint="eastAsia" w:ascii="宋体" w:hAnsi="宋体"/>
          <w:b/>
          <w:sz w:val="24"/>
        </w:rPr>
        <w:t>有效响应供应商仍有两家及以上，则继续按询比文件进行采购;如有效响应供应商不足两家将作废处理。</w:t>
      </w:r>
    </w:p>
    <w:p>
      <w:pPr>
        <w:widowControl/>
        <w:numPr>
          <w:ilvl w:val="1"/>
          <w:numId w:val="3"/>
        </w:numPr>
        <w:spacing w:line="460" w:lineRule="exact"/>
        <w:ind w:left="0" w:firstLine="425"/>
        <w:rPr>
          <w:rFonts w:ascii="宋体" w:hAnsi="宋体"/>
          <w:sz w:val="24"/>
        </w:rPr>
      </w:pPr>
      <w:r>
        <w:rPr>
          <w:rFonts w:hint="eastAsia" w:ascii="宋体" w:hAnsi="宋体"/>
          <w:sz w:val="24"/>
        </w:rPr>
        <w:t>资金来源：自筹资金</w:t>
      </w:r>
    </w:p>
    <w:p>
      <w:pPr>
        <w:widowControl/>
        <w:spacing w:line="460" w:lineRule="exact"/>
        <w:ind w:left="560"/>
        <w:rPr>
          <w:rFonts w:ascii="宋体" w:hAnsi="宋体"/>
          <w:b/>
          <w:sz w:val="24"/>
        </w:rPr>
      </w:pPr>
      <w:r>
        <w:rPr>
          <w:rFonts w:hint="eastAsia" w:ascii="宋体" w:hAnsi="宋体"/>
          <w:b/>
          <w:sz w:val="24"/>
        </w:rPr>
        <w:t>二、响应供应商资格要求</w:t>
      </w:r>
    </w:p>
    <w:p>
      <w:pPr>
        <w:spacing w:line="360" w:lineRule="auto"/>
        <w:ind w:firstLine="720" w:firstLineChars="300"/>
        <w:rPr>
          <w:rFonts w:ascii="宋体" w:hAnsi="宋体"/>
          <w:sz w:val="24"/>
          <w:highlight w:val="yellow"/>
        </w:rPr>
      </w:pPr>
      <w:bookmarkStart w:id="2" w:name="OLE_LINK8"/>
      <w:bookmarkStart w:id="3" w:name="OLE_LINK7"/>
      <w:r>
        <w:rPr>
          <w:rFonts w:hint="eastAsia" w:ascii="宋体" w:hAnsi="宋体"/>
          <w:sz w:val="24"/>
          <w:highlight w:val="yellow"/>
        </w:rPr>
        <w:t>（一）响应供应商须为在中华人民共和国境内注册且具有独立法人资格单位或有营业执照。</w:t>
      </w:r>
    </w:p>
    <w:p>
      <w:pPr>
        <w:spacing w:line="360" w:lineRule="auto"/>
        <w:ind w:firstLine="720" w:firstLineChars="300"/>
        <w:rPr>
          <w:rFonts w:ascii="宋体" w:hAnsi="宋体"/>
          <w:sz w:val="24"/>
          <w:highlight w:val="yellow"/>
        </w:rPr>
      </w:pPr>
      <w:r>
        <w:rPr>
          <w:rFonts w:hint="eastAsia" w:ascii="宋体" w:hAnsi="宋体"/>
          <w:sz w:val="24"/>
          <w:highlight w:val="yellow"/>
        </w:rPr>
        <w:t>（二）</w:t>
      </w:r>
      <w:r>
        <w:rPr>
          <w:rFonts w:ascii="宋体" w:hAnsi="宋体"/>
          <w:sz w:val="24"/>
          <w:highlight w:val="yellow"/>
        </w:rPr>
        <w:t>本项目不接受联合体投标，不允许响应供应商对本采购货物及其相关服务进行分包和转包。</w:t>
      </w:r>
    </w:p>
    <w:p>
      <w:pPr>
        <w:spacing w:line="360" w:lineRule="auto"/>
        <w:ind w:firstLine="720" w:firstLineChars="300"/>
        <w:rPr>
          <w:rFonts w:ascii="宋体" w:hAnsi="宋体"/>
          <w:sz w:val="24"/>
          <w:highlight w:val="yellow"/>
        </w:rPr>
      </w:pPr>
      <w:r>
        <w:rPr>
          <w:rFonts w:ascii="宋体" w:hAnsi="宋体"/>
          <w:sz w:val="24"/>
          <w:highlight w:val="yellow"/>
        </w:rPr>
        <w:t>（三）</w:t>
      </w:r>
      <w:r>
        <w:rPr>
          <w:rFonts w:hint="eastAsia" w:ascii="宋体" w:hAnsi="宋体"/>
          <w:sz w:val="24"/>
          <w:highlight w:val="yellow"/>
        </w:rPr>
        <w:t>供应商营业执照经营范围须包含“回收、再生（或加工）未被污染的输液瓶和输液袋”或“再生资源回收（除生产性废旧金属）”的资质。</w:t>
      </w:r>
    </w:p>
    <w:p>
      <w:pPr>
        <w:spacing w:line="360" w:lineRule="auto"/>
        <w:ind w:firstLine="720" w:firstLineChars="300"/>
        <w:rPr>
          <w:rFonts w:ascii="宋体" w:hAnsi="宋体"/>
          <w:sz w:val="24"/>
          <w:highlight w:val="yellow"/>
        </w:rPr>
      </w:pPr>
      <w:r>
        <w:rPr>
          <w:rFonts w:hint="eastAsia" w:ascii="宋体" w:hAnsi="宋体"/>
          <w:sz w:val="24"/>
          <w:highlight w:val="yellow"/>
        </w:rPr>
        <w:t>（四）供应商须提供对使用后未被污染输液瓶（袋）等塑料制品、玻璃输液瓶处置项目的固定污染源排污登记表/排污许可证。如供应商委托外单位处置的，须提供有效的委托协议。</w:t>
      </w:r>
    </w:p>
    <w:bookmarkEnd w:id="2"/>
    <w:bookmarkEnd w:id="3"/>
    <w:p>
      <w:pPr>
        <w:widowControl/>
        <w:spacing w:line="460" w:lineRule="exact"/>
        <w:ind w:left="560"/>
        <w:rPr>
          <w:rFonts w:ascii="宋体" w:hAnsi="宋体"/>
          <w:b/>
          <w:sz w:val="24"/>
        </w:rPr>
      </w:pPr>
      <w:r>
        <w:rPr>
          <w:rFonts w:hint="eastAsia" w:ascii="宋体" w:hAnsi="宋体"/>
          <w:b/>
          <w:sz w:val="24"/>
        </w:rPr>
        <w:t>三、询比文件取得的时间、方式及询比文件售价</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（一）采购人</w:t>
      </w:r>
      <w:r>
        <w:rPr>
          <w:rFonts w:hint="eastAsia" w:asciiTheme="minorEastAsia" w:hAnsiTheme="minorEastAsia" w:eastAsiaTheme="minorEastAsia"/>
          <w:sz w:val="24"/>
          <w:highlight w:val="none"/>
        </w:rPr>
        <w:t>通过公告形式发</w:t>
      </w:r>
      <w:r>
        <w:rPr>
          <w:rFonts w:hint="eastAsia" w:asciiTheme="minorEastAsia" w:hAnsiTheme="minorEastAsia" w:eastAsiaTheme="minorEastAsia"/>
          <w:sz w:val="24"/>
        </w:rPr>
        <w:t>送询比文件，时间</w:t>
      </w:r>
      <w:r>
        <w:rPr>
          <w:rFonts w:asciiTheme="minorEastAsia" w:hAnsiTheme="minorEastAsia" w:eastAsiaTheme="minorEastAsia"/>
          <w:sz w:val="24"/>
        </w:rPr>
        <w:t>:</w:t>
      </w:r>
      <w:r>
        <w:rPr>
          <w:rFonts w:hint="eastAsia" w:asciiTheme="minorEastAsia" w:hAnsiTheme="minorEastAsia" w:eastAsiaTheme="minorEastAsia"/>
          <w:sz w:val="24"/>
        </w:rPr>
        <w:t>2026年</w:t>
      </w: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29</w:t>
      </w:r>
      <w:r>
        <w:rPr>
          <w:rFonts w:hint="eastAsia" w:asciiTheme="minorEastAsia" w:hAnsiTheme="minorEastAsia" w:eastAsiaTheme="minorEastAsia"/>
          <w:sz w:val="24"/>
        </w:rPr>
        <w:t>日</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（二）采用院内询比的方式进行。</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（三）询比文件工本费：人民币 0元/套。</w:t>
      </w:r>
    </w:p>
    <w:p>
      <w:pPr>
        <w:widowControl/>
        <w:spacing w:line="460" w:lineRule="exact"/>
        <w:ind w:left="560"/>
        <w:rPr>
          <w:rFonts w:ascii="宋体" w:hAnsi="宋体"/>
          <w:b/>
          <w:sz w:val="24"/>
        </w:rPr>
      </w:pPr>
      <w:r>
        <w:rPr>
          <w:rFonts w:hint="eastAsia" w:ascii="宋体" w:hAnsi="宋体"/>
          <w:b/>
          <w:sz w:val="24"/>
        </w:rPr>
        <w:t>四、</w:t>
      </w:r>
      <w:r>
        <w:rPr>
          <w:rFonts w:hint="eastAsia" w:ascii="宋体" w:hAnsi="宋体"/>
          <w:b/>
          <w:sz w:val="24"/>
          <w:lang w:val="en-US" w:eastAsia="zh-CN"/>
        </w:rPr>
        <w:t>报名、</w:t>
      </w:r>
      <w:r>
        <w:rPr>
          <w:rFonts w:hint="eastAsia" w:ascii="宋体" w:hAnsi="宋体"/>
          <w:b/>
          <w:sz w:val="24"/>
        </w:rPr>
        <w:t>递交响应文件时间、截止及开标时间、开标地点</w:t>
      </w:r>
    </w:p>
    <w:p>
      <w:pPr>
        <w:widowControl/>
        <w:spacing w:line="460" w:lineRule="exact"/>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一</w:t>
      </w:r>
      <w:r>
        <w:rPr>
          <w:rFonts w:hint="eastAsia" w:ascii="宋体" w:hAnsi="宋体"/>
          <w:sz w:val="24"/>
          <w:lang w:eastAsia="zh-CN"/>
        </w:rPr>
        <w:t>）</w:t>
      </w:r>
      <w:r>
        <w:rPr>
          <w:rFonts w:hint="eastAsia" w:ascii="宋体" w:hAnsi="宋体"/>
          <w:sz w:val="24"/>
        </w:rPr>
        <w:t>请于2026年</w:t>
      </w:r>
      <w:r>
        <w:rPr>
          <w:rFonts w:hint="eastAsia" w:ascii="宋体" w:hAnsi="宋体"/>
          <w:sz w:val="24"/>
          <w:lang w:val="en-US" w:eastAsia="zh-CN"/>
        </w:rPr>
        <w:t>6</w:t>
      </w:r>
      <w:r>
        <w:rPr>
          <w:rFonts w:hint="eastAsia" w:ascii="宋体" w:hAnsi="宋体"/>
          <w:sz w:val="24"/>
        </w:rPr>
        <w:t>月</w:t>
      </w:r>
      <w:r>
        <w:rPr>
          <w:rFonts w:hint="eastAsia" w:ascii="宋体" w:hAnsi="宋体"/>
          <w:sz w:val="24"/>
          <w:lang w:val="en-US" w:eastAsia="zh-CN"/>
        </w:rPr>
        <w:t>8</w:t>
      </w:r>
      <w:r>
        <w:rPr>
          <w:rFonts w:hint="eastAsia" w:ascii="宋体" w:hAnsi="宋体"/>
          <w:sz w:val="24"/>
        </w:rPr>
        <w:t>日1</w:t>
      </w:r>
      <w:r>
        <w:rPr>
          <w:rFonts w:hint="eastAsia" w:ascii="宋体" w:hAnsi="宋体"/>
          <w:sz w:val="24"/>
          <w:lang w:val="en-US" w:eastAsia="zh-CN"/>
        </w:rPr>
        <w:t>5</w:t>
      </w:r>
      <w:r>
        <w:rPr>
          <w:rFonts w:hint="eastAsia" w:ascii="宋体" w:hAnsi="宋体"/>
          <w:sz w:val="24"/>
        </w:rPr>
        <w:t>:00前发送邮件至邮箱py_zcb@163.com，邮件名称请以下列格式命名：公司名称+报名参与</w:t>
      </w:r>
      <w:r>
        <w:rPr>
          <w:rFonts w:hint="eastAsia" w:ascii="宋体" w:hAnsi="宋体"/>
          <w:sz w:val="24"/>
          <w:lang w:eastAsia="zh-CN"/>
        </w:rPr>
        <w:t>广州医科大学附属番禺中心医院医疗集团可回收物服务项目（三次）</w:t>
      </w:r>
      <w:r>
        <w:rPr>
          <w:rFonts w:hint="eastAsia" w:ascii="宋体" w:hAnsi="宋体"/>
          <w:sz w:val="24"/>
        </w:rPr>
        <w:t>,邮件内容填写联系人及联系电话，未报名的不得参与询比。</w:t>
      </w:r>
    </w:p>
    <w:p>
      <w:pPr>
        <w:widowControl/>
        <w:spacing w:line="460" w:lineRule="exact"/>
        <w:ind w:firstLine="480" w:firstLineChars="200"/>
        <w:rPr>
          <w:rFonts w:hint="default" w:ascii="宋体" w:hAnsi="宋体" w:eastAsia="宋体"/>
          <w:sz w:val="24"/>
          <w:lang w:val="en-US" w:eastAsia="zh-CN"/>
        </w:rPr>
      </w:pPr>
      <w:r>
        <w:rPr>
          <w:rFonts w:hint="eastAsia" w:ascii="宋体" w:hAnsi="宋体"/>
          <w:sz w:val="24"/>
        </w:rPr>
        <w:t>（</w:t>
      </w:r>
      <w:r>
        <w:rPr>
          <w:rFonts w:hint="eastAsia" w:ascii="宋体" w:hAnsi="宋体"/>
          <w:sz w:val="24"/>
          <w:lang w:val="en-US" w:eastAsia="zh-CN"/>
        </w:rPr>
        <w:t>二</w:t>
      </w:r>
      <w:r>
        <w:rPr>
          <w:rFonts w:hint="eastAsia" w:ascii="宋体" w:hAnsi="宋体"/>
          <w:sz w:val="24"/>
        </w:rPr>
        <w:t>）</w:t>
      </w:r>
      <w:r>
        <w:rPr>
          <w:rFonts w:hint="eastAsia" w:ascii="宋体" w:hAnsi="宋体"/>
          <w:b/>
          <w:sz w:val="24"/>
        </w:rPr>
        <w:t>递交响应文件时间：</w:t>
      </w:r>
      <w:r>
        <w:rPr>
          <w:rFonts w:hint="eastAsia" w:ascii="宋体" w:hAnsi="宋体"/>
          <w:sz w:val="24"/>
        </w:rPr>
        <w:t>2026年</w:t>
      </w:r>
      <w:r>
        <w:rPr>
          <w:rFonts w:hint="eastAsia" w:ascii="宋体" w:hAnsi="宋体"/>
          <w:sz w:val="24"/>
          <w:lang w:val="en-US" w:eastAsia="zh-CN"/>
        </w:rPr>
        <w:t>6</w:t>
      </w:r>
      <w:r>
        <w:rPr>
          <w:rFonts w:ascii="宋体" w:hAnsi="宋体"/>
          <w:sz w:val="24"/>
        </w:rPr>
        <w:t>月</w:t>
      </w:r>
      <w:r>
        <w:rPr>
          <w:rFonts w:hint="eastAsia" w:ascii="宋体" w:hAnsi="宋体"/>
          <w:sz w:val="24"/>
          <w:lang w:val="en-US" w:eastAsia="zh-CN"/>
        </w:rPr>
        <w:t>9</w:t>
      </w:r>
      <w:r>
        <w:rPr>
          <w:rFonts w:hint="eastAsia" w:ascii="宋体" w:hAnsi="宋体"/>
          <w:sz w:val="24"/>
        </w:rPr>
        <w:t>日</w:t>
      </w:r>
      <w:r>
        <w:rPr>
          <w:rFonts w:hint="eastAsia" w:ascii="宋体" w:hAnsi="宋体"/>
          <w:sz w:val="24"/>
          <w:lang w:val="en-US" w:eastAsia="zh-CN"/>
        </w:rPr>
        <w:t>14</w:t>
      </w:r>
      <w:r>
        <w:rPr>
          <w:rFonts w:ascii="宋体" w:hAnsi="宋体"/>
          <w:sz w:val="24"/>
        </w:rPr>
        <w:t>:</w:t>
      </w:r>
      <w:r>
        <w:rPr>
          <w:rFonts w:hint="eastAsia" w:ascii="宋体" w:hAnsi="宋体"/>
          <w:sz w:val="24"/>
          <w:lang w:val="en-US" w:eastAsia="zh-CN"/>
        </w:rPr>
        <w:t>30</w:t>
      </w:r>
      <w:r>
        <w:rPr>
          <w:rFonts w:ascii="宋体" w:hAnsi="宋体"/>
          <w:sz w:val="24"/>
        </w:rPr>
        <w:t>—</w:t>
      </w:r>
      <w:r>
        <w:rPr>
          <w:rFonts w:hint="eastAsia" w:ascii="宋体" w:hAnsi="宋体"/>
          <w:sz w:val="24"/>
          <w:lang w:val="en-US" w:eastAsia="zh-CN"/>
        </w:rPr>
        <w:t>15</w:t>
      </w:r>
      <w:r>
        <w:rPr>
          <w:rFonts w:ascii="宋体" w:hAnsi="宋体"/>
          <w:sz w:val="24"/>
        </w:rPr>
        <w:t>:</w:t>
      </w:r>
      <w:r>
        <w:rPr>
          <w:rFonts w:hint="eastAsia" w:ascii="宋体" w:hAnsi="宋体"/>
          <w:sz w:val="24"/>
          <w:lang w:val="en-US" w:eastAsia="zh-CN"/>
        </w:rPr>
        <w:t>00</w:t>
      </w:r>
    </w:p>
    <w:p>
      <w:pPr>
        <w:widowControl/>
        <w:spacing w:line="460" w:lineRule="exact"/>
        <w:ind w:firstLine="480" w:firstLineChars="200"/>
        <w:rPr>
          <w:rFonts w:hint="eastAsia" w:ascii="宋体" w:hAnsi="宋体"/>
          <w:sz w:val="24"/>
          <w:lang w:val="en-US" w:eastAsia="zh-CN"/>
        </w:rPr>
      </w:pPr>
      <w:r>
        <w:rPr>
          <w:rFonts w:hint="eastAsia" w:ascii="宋体" w:hAnsi="宋体"/>
          <w:sz w:val="24"/>
        </w:rPr>
        <w:t>（</w:t>
      </w:r>
      <w:r>
        <w:rPr>
          <w:rFonts w:hint="eastAsia" w:ascii="宋体" w:hAnsi="宋体"/>
          <w:sz w:val="24"/>
          <w:lang w:val="en-US" w:eastAsia="zh-CN"/>
        </w:rPr>
        <w:t>三</w:t>
      </w:r>
      <w:r>
        <w:rPr>
          <w:rFonts w:hint="eastAsia" w:ascii="宋体" w:hAnsi="宋体"/>
          <w:sz w:val="24"/>
        </w:rPr>
        <w:t>）</w:t>
      </w:r>
      <w:r>
        <w:rPr>
          <w:rFonts w:hint="eastAsia" w:ascii="宋体" w:hAnsi="宋体"/>
          <w:b/>
          <w:sz w:val="24"/>
        </w:rPr>
        <w:t>询比截止及开标时间：</w:t>
      </w:r>
      <w:r>
        <w:rPr>
          <w:rFonts w:hint="eastAsia" w:ascii="宋体" w:hAnsi="宋体"/>
          <w:sz w:val="24"/>
        </w:rPr>
        <w:t>2026年</w:t>
      </w:r>
      <w:r>
        <w:rPr>
          <w:rFonts w:hint="eastAsia" w:ascii="宋体" w:hAnsi="宋体"/>
          <w:sz w:val="24"/>
          <w:lang w:val="en-US" w:eastAsia="zh-CN"/>
        </w:rPr>
        <w:t>6</w:t>
      </w:r>
      <w:r>
        <w:rPr>
          <w:rFonts w:ascii="宋体" w:hAnsi="宋体"/>
          <w:sz w:val="24"/>
        </w:rPr>
        <w:t>月</w:t>
      </w:r>
      <w:r>
        <w:rPr>
          <w:rFonts w:hint="eastAsia" w:ascii="宋体" w:hAnsi="宋体"/>
          <w:sz w:val="24"/>
          <w:lang w:val="en-US" w:eastAsia="zh-CN"/>
        </w:rPr>
        <w:t>9</w:t>
      </w:r>
      <w:r>
        <w:rPr>
          <w:rFonts w:hint="eastAsia" w:ascii="宋体" w:hAnsi="宋体"/>
          <w:sz w:val="24"/>
        </w:rPr>
        <w:t xml:space="preserve"> 日</w:t>
      </w:r>
      <w:r>
        <w:rPr>
          <w:rFonts w:hint="eastAsia" w:ascii="宋体" w:hAnsi="宋体"/>
          <w:sz w:val="24"/>
          <w:lang w:val="en-US" w:eastAsia="zh-CN"/>
        </w:rPr>
        <w:t>15</w:t>
      </w:r>
      <w:r>
        <w:rPr>
          <w:rFonts w:ascii="宋体" w:hAnsi="宋体"/>
          <w:sz w:val="24"/>
        </w:rPr>
        <w:t>:</w:t>
      </w:r>
      <w:r>
        <w:rPr>
          <w:rFonts w:hint="eastAsia" w:ascii="宋体" w:hAnsi="宋体"/>
          <w:sz w:val="24"/>
          <w:lang w:val="en-US" w:eastAsia="zh-CN"/>
        </w:rPr>
        <w:t>00</w:t>
      </w:r>
    </w:p>
    <w:p>
      <w:pPr>
        <w:widowControl/>
        <w:spacing w:line="460" w:lineRule="exact"/>
        <w:ind w:firstLine="480" w:firstLineChars="200"/>
        <w:rPr>
          <w:rFonts w:hint="eastAsia" w:ascii="宋体" w:hAnsi="宋体"/>
          <w:sz w:val="24"/>
        </w:rPr>
      </w:pPr>
      <w:r>
        <w:rPr>
          <w:rFonts w:hint="eastAsia" w:ascii="宋体" w:hAnsi="宋体"/>
          <w:sz w:val="24"/>
        </w:rPr>
        <w:t>（</w:t>
      </w:r>
      <w:r>
        <w:rPr>
          <w:rFonts w:hint="eastAsia" w:ascii="宋体" w:hAnsi="宋体"/>
          <w:sz w:val="24"/>
          <w:lang w:val="en-US" w:eastAsia="zh-CN"/>
        </w:rPr>
        <w:t>四</w:t>
      </w:r>
      <w:r>
        <w:rPr>
          <w:rFonts w:hint="eastAsia" w:ascii="宋体" w:hAnsi="宋体"/>
          <w:sz w:val="24"/>
        </w:rPr>
        <w:t>）</w:t>
      </w:r>
      <w:r>
        <w:rPr>
          <w:rFonts w:hint="eastAsia" w:ascii="宋体" w:hAnsi="宋体"/>
          <w:b/>
          <w:sz w:val="24"/>
        </w:rPr>
        <w:t>开标地点:</w:t>
      </w:r>
      <w:r>
        <w:rPr>
          <w:rFonts w:hint="eastAsia" w:ascii="宋体" w:hAnsi="宋体"/>
          <w:sz w:val="24"/>
        </w:rPr>
        <w:t>广州医科大学附属番禺中心医院门诊楼</w:t>
      </w:r>
      <w:r>
        <w:rPr>
          <w:rFonts w:ascii="宋体" w:hAnsi="宋体"/>
          <w:sz w:val="24"/>
        </w:rPr>
        <w:t>4楼</w:t>
      </w:r>
      <w:r>
        <w:rPr>
          <w:rFonts w:hint="eastAsia" w:ascii="宋体" w:hAnsi="宋体"/>
          <w:sz w:val="24"/>
          <w:lang w:val="en-US" w:eastAsia="zh-CN"/>
        </w:rPr>
        <w:t>40</w:t>
      </w:r>
      <w:r>
        <w:rPr>
          <w:rFonts w:hint="default" w:ascii="宋体" w:hAnsi="宋体"/>
          <w:sz w:val="24"/>
          <w:lang w:eastAsia="zh-CN"/>
        </w:rPr>
        <w:t>5</w:t>
      </w:r>
      <w:r>
        <w:rPr>
          <w:rFonts w:hint="eastAsia" w:ascii="宋体" w:hAnsi="宋体"/>
          <w:sz w:val="24"/>
        </w:rPr>
        <w:t>会议室</w:t>
      </w:r>
    </w:p>
    <w:p>
      <w:pPr>
        <w:widowControl/>
        <w:spacing w:line="460" w:lineRule="exact"/>
        <w:ind w:firstLine="480" w:firstLineChars="200"/>
        <w:rPr>
          <w:rFonts w:hint="eastAsia" w:ascii="宋体" w:hAnsi="宋体"/>
          <w:sz w:val="24"/>
        </w:rPr>
      </w:pPr>
    </w:p>
    <w:p>
      <w:pPr>
        <w:widowControl/>
        <w:spacing w:line="460" w:lineRule="exact"/>
        <w:ind w:left="560"/>
        <w:rPr>
          <w:rFonts w:ascii="宋体" w:hAnsi="宋体"/>
          <w:b/>
          <w:sz w:val="24"/>
        </w:rPr>
      </w:pPr>
      <w:r>
        <w:rPr>
          <w:rFonts w:hint="eastAsia" w:ascii="宋体" w:hAnsi="宋体"/>
          <w:b/>
          <w:sz w:val="24"/>
        </w:rPr>
        <w:t>五、采购信息发布及结果公告</w:t>
      </w:r>
    </w:p>
    <w:p>
      <w:pPr>
        <w:spacing w:line="460" w:lineRule="exact"/>
        <w:ind w:left="569"/>
        <w:rPr>
          <w:rFonts w:ascii="宋体" w:hAnsi="宋体"/>
          <w:sz w:val="24"/>
        </w:rPr>
      </w:pPr>
      <w:r>
        <w:rPr>
          <w:rFonts w:hint="eastAsia" w:ascii="宋体" w:hAnsi="宋体"/>
          <w:sz w:val="24"/>
        </w:rPr>
        <w:t>采</w:t>
      </w:r>
      <w:r>
        <w:rPr>
          <w:rFonts w:hint="eastAsia" w:ascii="宋体" w:hAnsi="宋体"/>
          <w:sz w:val="24"/>
          <w:highlight w:val="none"/>
        </w:rPr>
        <w:t>用公告询</w:t>
      </w:r>
      <w:r>
        <w:rPr>
          <w:rFonts w:hint="eastAsia" w:ascii="宋体" w:hAnsi="宋体"/>
          <w:sz w:val="24"/>
        </w:rPr>
        <w:t>比的方式进行，成交结果通过邮件形式告知。</w:t>
      </w:r>
    </w:p>
    <w:p>
      <w:pPr>
        <w:spacing w:line="460" w:lineRule="exact"/>
        <w:ind w:left="569"/>
        <w:rPr>
          <w:rFonts w:ascii="宋体" w:hAnsi="宋体"/>
          <w:sz w:val="24"/>
        </w:rPr>
      </w:pPr>
      <w:r>
        <w:rPr>
          <w:rFonts w:hint="eastAsia" w:ascii="宋体" w:hAnsi="宋体"/>
          <w:sz w:val="24"/>
        </w:rPr>
        <w:t>采购人邮箱：p</w:t>
      </w:r>
      <w:r>
        <w:rPr>
          <w:rFonts w:ascii="宋体" w:hAnsi="宋体"/>
          <w:sz w:val="24"/>
        </w:rPr>
        <w:t>y_zcb@163.com</w:t>
      </w:r>
    </w:p>
    <w:p>
      <w:pPr>
        <w:widowControl/>
        <w:spacing w:line="460" w:lineRule="exact"/>
        <w:ind w:left="560"/>
        <w:rPr>
          <w:rFonts w:ascii="宋体" w:hAnsi="宋体"/>
          <w:b/>
          <w:sz w:val="24"/>
        </w:rPr>
      </w:pPr>
      <w:r>
        <w:rPr>
          <w:rFonts w:hint="eastAsia" w:ascii="宋体" w:hAnsi="宋体"/>
          <w:b/>
          <w:sz w:val="24"/>
        </w:rPr>
        <w:t>六、采购人的名称、地址和联系方式</w:t>
      </w:r>
    </w:p>
    <w:p>
      <w:pPr>
        <w:spacing w:line="460" w:lineRule="exact"/>
        <w:ind w:left="540" w:leftChars="257"/>
        <w:rPr>
          <w:rFonts w:ascii="宋体" w:hAnsi="宋体"/>
          <w:sz w:val="24"/>
        </w:rPr>
      </w:pPr>
      <w:r>
        <w:rPr>
          <w:rFonts w:hint="eastAsia" w:ascii="宋体" w:hAnsi="宋体"/>
          <w:sz w:val="24"/>
        </w:rPr>
        <w:t>采购人名称</w:t>
      </w:r>
      <w:r>
        <w:rPr>
          <w:rFonts w:hint="eastAsia" w:ascii="宋体" w:hAnsi="宋体" w:cs="Tahoma"/>
          <w:sz w:val="24"/>
        </w:rPr>
        <w:t>：</w:t>
      </w:r>
      <w:bookmarkStart w:id="4" w:name="OLE_LINK3"/>
      <w:bookmarkStart w:id="5" w:name="OLE_LINK4"/>
      <w:r>
        <w:rPr>
          <w:rFonts w:hint="eastAsia" w:ascii="宋体" w:hAnsi="宋体"/>
          <w:sz w:val="24"/>
        </w:rPr>
        <w:t>广州医科大学附属番禺中心医院</w:t>
      </w:r>
      <w:bookmarkEnd w:id="4"/>
      <w:bookmarkEnd w:id="5"/>
    </w:p>
    <w:p>
      <w:pPr>
        <w:spacing w:line="460" w:lineRule="exact"/>
        <w:ind w:left="540" w:leftChars="257"/>
        <w:rPr>
          <w:rFonts w:ascii="宋体" w:hAnsi="宋体" w:cs="Tahoma"/>
          <w:sz w:val="24"/>
        </w:rPr>
      </w:pPr>
      <w:r>
        <w:rPr>
          <w:rFonts w:hint="eastAsia" w:ascii="宋体" w:hAnsi="宋体"/>
          <w:sz w:val="24"/>
        </w:rPr>
        <w:t>采购人地址</w:t>
      </w:r>
      <w:r>
        <w:rPr>
          <w:rFonts w:hint="eastAsia" w:ascii="宋体" w:hAnsi="宋体" w:cs="Tahoma"/>
          <w:sz w:val="24"/>
        </w:rPr>
        <w:t>：广州市番禺区桥南街福愉东路8号</w:t>
      </w:r>
    </w:p>
    <w:p>
      <w:pPr>
        <w:spacing w:line="460" w:lineRule="exact"/>
        <w:ind w:left="540" w:leftChars="257"/>
        <w:rPr>
          <w:rFonts w:ascii="宋体" w:hAnsi="宋体"/>
          <w:sz w:val="24"/>
        </w:rPr>
      </w:pPr>
      <w:r>
        <w:rPr>
          <w:rFonts w:hint="eastAsia" w:ascii="宋体" w:hAnsi="宋体"/>
          <w:sz w:val="24"/>
        </w:rPr>
        <w:t>联系人：黄</w:t>
      </w:r>
      <w:r>
        <w:rPr>
          <w:rFonts w:ascii="宋体" w:hAnsi="宋体"/>
          <w:sz w:val="24"/>
        </w:rPr>
        <w:t>小姐</w:t>
      </w:r>
      <w:r>
        <w:rPr>
          <w:rFonts w:hint="eastAsia" w:ascii="宋体" w:hAnsi="宋体"/>
          <w:sz w:val="24"/>
        </w:rPr>
        <w:t xml:space="preserve">  </w:t>
      </w:r>
    </w:p>
    <w:p>
      <w:pPr>
        <w:spacing w:line="460" w:lineRule="exact"/>
        <w:ind w:left="540" w:leftChars="257"/>
        <w:rPr>
          <w:rFonts w:ascii="宋体" w:hAnsi="宋体"/>
          <w:sz w:val="24"/>
        </w:rPr>
      </w:pPr>
      <w:r>
        <w:rPr>
          <w:rFonts w:hint="eastAsia" w:ascii="宋体" w:hAnsi="宋体"/>
          <w:sz w:val="24"/>
        </w:rPr>
        <w:t>联系电话：020-34858</w:t>
      </w:r>
      <w:r>
        <w:rPr>
          <w:rFonts w:ascii="宋体" w:hAnsi="宋体"/>
          <w:sz w:val="24"/>
        </w:rPr>
        <w:t>891</w:t>
      </w:r>
    </w:p>
    <w:p>
      <w:pPr>
        <w:pStyle w:val="5"/>
      </w:pPr>
      <w:r>
        <w:br w:type="page"/>
      </w:r>
    </w:p>
    <w:p>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t>第二部分</w:t>
      </w:r>
      <w:r>
        <w:rPr>
          <w:rFonts w:hint="eastAsia" w:cs="宋体" w:asciiTheme="minorEastAsia" w:hAnsiTheme="minorEastAsia" w:eastAsiaTheme="minorEastAsia"/>
          <w:b/>
          <w:sz w:val="44"/>
          <w:szCs w:val="44"/>
        </w:rPr>
        <w:t xml:space="preserve"> </w:t>
      </w:r>
      <w:r>
        <w:rPr>
          <w:rFonts w:hint="eastAsia" w:asciiTheme="minorEastAsia" w:hAnsiTheme="minorEastAsia" w:eastAsiaTheme="minorEastAsia"/>
          <w:b/>
          <w:sz w:val="32"/>
        </w:rPr>
        <w:t>供应商须知</w:t>
      </w:r>
    </w:p>
    <w:p>
      <w:pPr>
        <w:pStyle w:val="5"/>
      </w:pP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一、响应文件的构成</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（一）响应文件须按照第六部分的要求分别单独装订成册。</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（二）响应文件应装订牢固不可拆卸（如：胶订），如因装订不牢固导致的任何损失由响应供应商承担。</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（三）响应文件数量：</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（1）纸质文件：正本1份，副本</w:t>
      </w:r>
      <w:r>
        <w:rPr>
          <w:rFonts w:asciiTheme="minorEastAsia" w:hAnsiTheme="minorEastAsia" w:eastAsiaTheme="minorEastAsia"/>
          <w:sz w:val="24"/>
        </w:rPr>
        <w:t>3</w:t>
      </w:r>
      <w:r>
        <w:rPr>
          <w:rFonts w:hint="eastAsia" w:asciiTheme="minorEastAsia" w:hAnsiTheme="minorEastAsia" w:eastAsiaTheme="minorEastAsia"/>
          <w:sz w:val="24"/>
        </w:rPr>
        <w:t>份。</w:t>
      </w:r>
    </w:p>
    <w:p>
      <w:pPr>
        <w:pStyle w:val="5"/>
        <w:ind w:firstLine="426"/>
        <w:rPr>
          <w:rFonts w:asciiTheme="minorEastAsia" w:hAnsiTheme="minorEastAsia" w:eastAsiaTheme="minorEastAsia"/>
          <w:sz w:val="24"/>
          <w:szCs w:val="24"/>
        </w:rPr>
      </w:pPr>
      <w:r>
        <w:rPr>
          <w:rFonts w:hint="eastAsia" w:asciiTheme="minorEastAsia" w:hAnsiTheme="minorEastAsia" w:eastAsiaTheme="minorEastAsia"/>
          <w:sz w:val="24"/>
          <w:szCs w:val="24"/>
        </w:rPr>
        <w:t>（2）电子文件：正本扫描件1份，以U盘形式与响应文件一并提交。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（四）所有纸质响应文件（除特殊规格的图纸等外）应按A4规格制作；采用双面打印或复印。</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二、响应文件的编写</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★（一）响应供应商不得将项目内容拆开响应，否则其报价将被视为非实质性响应。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供应商应按询比文件的规定及附件要求的内容和格式完整地填写和提供资料。响应供应商必须对响应文件所提供的全部资料的真实性承担法律责任，并无条件接受采购人对其中任何资料进行核实（核对原件）的要求。采购人核对发现有不一致或供应商无正当理由不按时提供原件的，按成交无效处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（三）询比文件中，凡标有“★”的地方均为须实质响应条款，响应供应商若有一项带“★”的条款未响应或不满足，将按无效响应处理。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★（四）响应供应商须对询比文件的对应要求给予唯一的实质性响应，否则将视为不响应。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（五）除在询比文件另有规定外，计量单位应使用中华人民共和国法定计量单位，以人民币填报所有报价。</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三、响应文件的标记和密封</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（一）响应文件的任何涂改或修正，必须由响应供应商代表签字确认。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（二）响应文件封面标明“正本”或“副本”，并盖章。副本可采用正本的复印件，一旦正本与副本不符，以正本为准。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（三）正本、副本单独封装。封套表面标明“正本”或“副本”字样，在每一封套上按以下顺序标明如下字样：</w:t>
      </w:r>
    </w:p>
    <w:p>
      <w:pPr>
        <w:spacing w:line="360" w:lineRule="auto"/>
        <w:ind w:firstLine="480" w:firstLineChars="200"/>
        <w:rPr>
          <w:rFonts w:asciiTheme="minorEastAsia" w:hAnsiTheme="minorEastAsia" w:eastAsiaTheme="minorEastAsia"/>
          <w:sz w:val="24"/>
        </w:rPr>
      </w:pPr>
    </w:p>
    <w:tbl>
      <w:tblPr>
        <w:tblStyle w:val="37"/>
        <w:tblW w:w="0" w:type="auto"/>
        <w:jc w:val="center"/>
        <w:shd w:val="clear" w:color="auto" w:fill="E6E6E6"/>
        <w:tblLayout w:type="fixed"/>
        <w:tblCellMar>
          <w:top w:w="0" w:type="dxa"/>
          <w:left w:w="108" w:type="dxa"/>
          <w:bottom w:w="0" w:type="dxa"/>
          <w:right w:w="108" w:type="dxa"/>
        </w:tblCellMar>
      </w:tblPr>
      <w:tblGrid>
        <w:gridCol w:w="7160"/>
      </w:tblGrid>
      <w:tr>
        <w:tblPrEx>
          <w:shd w:val="clear" w:color="auto" w:fill="E6E6E6"/>
          <w:tblCellMar>
            <w:top w:w="0" w:type="dxa"/>
            <w:left w:w="108" w:type="dxa"/>
            <w:bottom w:w="0" w:type="dxa"/>
            <w:right w:w="108" w:type="dxa"/>
          </w:tblCellMar>
        </w:tblPrEx>
        <w:trPr>
          <w:trHeight w:val="462" w:hRule="atLeast"/>
          <w:jc w:val="center"/>
        </w:trPr>
        <w:tc>
          <w:tcPr>
            <w:tcW w:w="7160" w:type="dxa"/>
            <w:shd w:val="clear" w:color="auto" w:fill="E6E6E6"/>
          </w:tcPr>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收件人：广州医科大学附属番禺中心医院</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u w:val="single"/>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广州医科大学附属番禺中心医院医疗集团可回收物服务项目（三次）</w:t>
            </w:r>
            <w:r>
              <w:rPr>
                <w:rFonts w:hint="eastAsia" w:asciiTheme="minorEastAsia" w:hAnsiTheme="minorEastAsia" w:eastAsiaTheme="minorEastAsia"/>
                <w:sz w:val="24"/>
                <w:u w:val="single"/>
              </w:rPr>
              <w:t>（询比编号：CG-XBLX-202604-01）</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响应供应商名称：X</w:t>
            </w:r>
            <w:r>
              <w:rPr>
                <w:rFonts w:hint="default" w:asciiTheme="minorEastAsia" w:hAnsiTheme="minorEastAsia" w:eastAsiaTheme="minorEastAsia"/>
                <w:sz w:val="24"/>
              </w:rPr>
              <w:t>XX</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响应供应商地址、联系人、电话及传真号码：</w:t>
            </w:r>
          </w:p>
          <w:p>
            <w:pPr>
              <w:pStyle w:val="5"/>
              <w:keepNext w:val="0"/>
              <w:keepLines w:val="0"/>
              <w:suppressLineNumbers w:val="0"/>
              <w:spacing w:before="0" w:beforeAutospacing="0" w:after="0" w:afterAutospacing="0"/>
              <w:ind w:left="0" w:right="0"/>
              <w:rPr>
                <w:rFonts w:hint="default"/>
              </w:rPr>
            </w:pPr>
            <w:r>
              <w:rPr>
                <w:rFonts w:hint="eastAsia" w:asciiTheme="minorEastAsia" w:hAnsiTheme="minorEastAsia" w:eastAsiaTheme="minorEastAsia"/>
                <w:sz w:val="24"/>
              </w:rPr>
              <w:t>X</w:t>
            </w:r>
            <w:r>
              <w:rPr>
                <w:rFonts w:hint="default" w:asciiTheme="minorEastAsia" w:hAnsiTheme="minorEastAsia" w:eastAsiaTheme="minorEastAsia"/>
                <w:sz w:val="24"/>
              </w:rPr>
              <w:t>XXX</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在规定的开标时间2026年</w:t>
            </w:r>
            <w:r>
              <w:rPr>
                <w:rFonts w:hint="eastAsia" w:asciiTheme="minorEastAsia" w:hAnsiTheme="minorEastAsia" w:eastAsiaTheme="minorEastAsia"/>
                <w:sz w:val="24"/>
                <w:lang w:val="en-US" w:eastAsia="zh-CN"/>
              </w:rPr>
              <w:t>6</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9</w:t>
            </w:r>
            <w:r>
              <w:rPr>
                <w:rFonts w:hint="eastAsia" w:asciiTheme="minorEastAsia" w:hAnsiTheme="minorEastAsia" w:eastAsiaTheme="minorEastAsia"/>
                <w:sz w:val="24"/>
              </w:rPr>
              <w:t>日</w:t>
            </w:r>
            <w:r>
              <w:rPr>
                <w:rFonts w:hint="eastAsia" w:asciiTheme="minorEastAsia" w:hAnsiTheme="minorEastAsia" w:eastAsiaTheme="minorEastAsia"/>
                <w:sz w:val="24"/>
                <w:lang w:val="en-US" w:eastAsia="zh-CN"/>
              </w:rPr>
              <w:t>15</w:t>
            </w:r>
            <w:r>
              <w:rPr>
                <w:rFonts w:hint="eastAsia" w:asciiTheme="minorEastAsia" w:hAnsiTheme="minorEastAsia" w:eastAsiaTheme="minorEastAsia"/>
                <w:sz w:val="24"/>
              </w:rPr>
              <w:t>时</w:t>
            </w:r>
            <w:r>
              <w:rPr>
                <w:rFonts w:hint="eastAsia" w:asciiTheme="minorEastAsia" w:hAnsiTheme="minorEastAsia" w:eastAsiaTheme="minorEastAsia"/>
                <w:sz w:val="24"/>
                <w:lang w:val="en-US" w:eastAsia="zh-CN"/>
              </w:rPr>
              <w:t>00</w:t>
            </w:r>
            <w:r>
              <w:rPr>
                <w:rFonts w:hint="eastAsia" w:asciiTheme="minorEastAsia" w:hAnsiTheme="minorEastAsia" w:eastAsiaTheme="minorEastAsia"/>
                <w:sz w:val="24"/>
              </w:rPr>
              <w:t>分前不得启封</w:t>
            </w:r>
          </w:p>
        </w:tc>
      </w:tr>
    </w:tbl>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四、响应文件的递交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（一）所有响应文件应在响应截止时间前送达开标地点。</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（二）采购人将拒绝以下情况的响应文件：</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未按要求密封的。</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迟于响应截止时间递交的。</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采购人不接受邮寄、电报、电话、传真方式响应。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采购人对因不可抗力事件造成的响应文件的损坏、丢失不承担责任。</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五、响应文件的修改与撤回</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（一）在响应截止时间之前，响应供应商可以修改或撤回其响应文件。</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（二）在响应截止时间之后，采购人不接受响应供应商对响应文件做任何修改及撤回。</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六、响应有效期</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（一）开启响应文件后90天。</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特殊情况下，采购人可于响应有效期满之前要求响应供应商同意延长有效期，要求与答复均以书面形式进行。响应供应商可以拒绝上述要求，但其响应将会被拒绝；同意延期的响应供应商其权利与义务相应延至新的截止期。</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七、询比文件的解释权</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本询比文件由广州医科大学附属番禺中心医院负责解释。</w:t>
      </w:r>
    </w:p>
    <w:p>
      <w:pPr>
        <w:spacing w:before="156" w:beforeLines="50" w:line="360" w:lineRule="auto"/>
        <w:ind w:firstLine="480" w:firstLineChars="200"/>
        <w:rPr>
          <w:rFonts w:asciiTheme="minorEastAsia" w:hAnsiTheme="minorEastAsia" w:eastAsiaTheme="minorEastAsia"/>
          <w:sz w:val="24"/>
        </w:rPr>
      </w:pPr>
    </w:p>
    <w:p>
      <w:pPr>
        <w:spacing w:line="312" w:lineRule="auto"/>
        <w:ind w:left="1320" w:firstLine="1762" w:firstLineChars="550"/>
        <w:outlineLvl w:val="0"/>
        <w:rPr>
          <w:rFonts w:asciiTheme="minorEastAsia" w:hAnsiTheme="minorEastAsia" w:eastAsiaTheme="minorEastAsia"/>
          <w:b/>
          <w:sz w:val="32"/>
        </w:rPr>
      </w:pPr>
      <w:bookmarkStart w:id="6" w:name="_Toc386099823"/>
      <w:bookmarkStart w:id="7" w:name="_Toc384824324"/>
      <w:bookmarkStart w:id="8" w:name="_Toc31398"/>
      <w:r>
        <w:rPr>
          <w:rFonts w:asciiTheme="minorEastAsia" w:hAnsiTheme="minorEastAsia" w:eastAsiaTheme="minorEastAsia"/>
          <w:b/>
          <w:sz w:val="32"/>
        </w:rPr>
        <w:br w:type="page"/>
      </w:r>
      <w:r>
        <w:rPr>
          <w:rFonts w:hint="eastAsia" w:asciiTheme="minorEastAsia" w:hAnsiTheme="minorEastAsia" w:eastAsiaTheme="minorEastAsia"/>
          <w:b/>
          <w:sz w:val="32"/>
        </w:rPr>
        <w:t>第三部分 用户需求书</w:t>
      </w:r>
      <w:bookmarkEnd w:id="6"/>
      <w:bookmarkEnd w:id="7"/>
      <w:bookmarkEnd w:id="8"/>
    </w:p>
    <w:p>
      <w:pPr>
        <w:widowControl/>
        <w:numPr>
          <w:ilvl w:val="255"/>
          <w:numId w:val="0"/>
        </w:numPr>
        <w:spacing w:line="360" w:lineRule="auto"/>
        <w:ind w:firstLine="420" w:firstLineChars="200"/>
        <w:jc w:val="left"/>
        <w:rPr>
          <w:rFonts w:asciiTheme="minorEastAsia" w:hAnsiTheme="minorEastAsia" w:eastAsiaTheme="minorEastAsia" w:cstheme="minorEastAsia"/>
          <w:bCs/>
          <w:color w:val="000000"/>
          <w:kern w:val="0"/>
          <w:szCs w:val="21"/>
        </w:rPr>
      </w:pPr>
    </w:p>
    <w:p>
      <w:pPr>
        <w:adjustRightInd w:val="0"/>
        <w:snapToGrid w:val="0"/>
        <w:spacing w:line="360" w:lineRule="auto"/>
        <w:ind w:firstLine="480" w:firstLineChars="200"/>
        <w:rPr>
          <w:rFonts w:ascii="宋体" w:hAnsi="宋体" w:cs="仿宋"/>
          <w:sz w:val="24"/>
        </w:rPr>
      </w:pPr>
      <w:r>
        <w:rPr>
          <w:rFonts w:hint="eastAsia" w:ascii="宋体" w:hAnsi="宋体" w:cs="仿宋"/>
          <w:sz w:val="24"/>
        </w:rPr>
        <w:t>一、服</w:t>
      </w:r>
      <w:r>
        <w:rPr>
          <w:rFonts w:ascii="宋体" w:hAnsi="宋体" w:cs="仿宋"/>
          <w:sz w:val="24"/>
        </w:rPr>
        <w:t>务内容</w:t>
      </w:r>
    </w:p>
    <w:p>
      <w:pPr>
        <w:adjustRightInd w:val="0"/>
        <w:snapToGrid w:val="0"/>
        <w:spacing w:line="360" w:lineRule="auto"/>
        <w:ind w:firstLine="480" w:firstLineChars="200"/>
        <w:rPr>
          <w:rFonts w:ascii="宋体" w:hAnsi="宋体" w:cs="仿宋"/>
          <w:sz w:val="24"/>
        </w:rPr>
      </w:pPr>
      <w:r>
        <w:rPr>
          <w:rFonts w:hint="eastAsia" w:ascii="宋体" w:hAnsi="宋体" w:cs="仿宋"/>
          <w:sz w:val="24"/>
        </w:rPr>
        <w:t>对</w:t>
      </w:r>
      <w:r>
        <w:rPr>
          <w:rFonts w:ascii="宋体" w:hAnsi="宋体" w:cs="仿宋"/>
          <w:sz w:val="24"/>
        </w:rPr>
        <w:t>采购人</w:t>
      </w:r>
      <w:r>
        <w:rPr>
          <w:rFonts w:hint="eastAsia" w:ascii="宋体" w:hAnsi="宋体" w:cs="仿宋"/>
          <w:sz w:val="24"/>
        </w:rPr>
        <w:t>日常诊疗活动中产生的未被患者血液、体液、排泄物等污染的一次性输液瓶(袋)、AB 胶桶及其他可回收物进行回收。</w:t>
      </w:r>
    </w:p>
    <w:p>
      <w:pPr>
        <w:adjustRightInd w:val="0"/>
        <w:snapToGrid w:val="0"/>
        <w:spacing w:line="360" w:lineRule="auto"/>
        <w:ind w:firstLine="480" w:firstLineChars="200"/>
        <w:rPr>
          <w:rFonts w:ascii="宋体" w:hAnsi="宋体" w:cs="仿宋"/>
          <w:sz w:val="24"/>
        </w:rPr>
      </w:pPr>
      <w:r>
        <w:rPr>
          <w:rFonts w:ascii="宋体" w:hAnsi="宋体" w:cs="仿宋"/>
          <w:sz w:val="24"/>
        </w:rPr>
        <w:t>二、服务范围：</w:t>
      </w:r>
      <w:r>
        <w:rPr>
          <w:rFonts w:hint="eastAsia" w:ascii="宋体" w:hAnsi="宋体" w:cs="仿宋"/>
          <w:sz w:val="24"/>
        </w:rPr>
        <w:t>广州医科大学附属番禺中心医院</w:t>
      </w:r>
      <w:r>
        <w:rPr>
          <w:rFonts w:ascii="宋体" w:hAnsi="宋体" w:cs="仿宋"/>
          <w:sz w:val="24"/>
        </w:rPr>
        <w:t>、</w:t>
      </w:r>
      <w:r>
        <w:rPr>
          <w:rFonts w:hint="eastAsia" w:ascii="宋体" w:hAnsi="宋体" w:cs="仿宋"/>
          <w:sz w:val="24"/>
        </w:rPr>
        <w:t>广州市</w:t>
      </w:r>
      <w:r>
        <w:rPr>
          <w:rFonts w:ascii="宋体" w:hAnsi="宋体" w:cs="仿宋"/>
          <w:sz w:val="24"/>
        </w:rPr>
        <w:t>番禺区第七人民医院</w:t>
      </w:r>
    </w:p>
    <w:p>
      <w:pPr>
        <w:adjustRightInd w:val="0"/>
        <w:snapToGrid w:val="0"/>
        <w:spacing w:line="360" w:lineRule="auto"/>
        <w:ind w:firstLine="480" w:firstLineChars="200"/>
        <w:rPr>
          <w:rFonts w:ascii="宋体" w:hAnsi="宋体" w:cs="仿宋"/>
          <w:sz w:val="24"/>
        </w:rPr>
      </w:pPr>
      <w:r>
        <w:rPr>
          <w:rFonts w:hint="eastAsia" w:ascii="宋体" w:hAnsi="宋体" w:cs="仿宋"/>
          <w:sz w:val="24"/>
        </w:rPr>
        <w:t>三、项目结算总额：41</w:t>
      </w:r>
      <w:r>
        <w:rPr>
          <w:rFonts w:ascii="宋体" w:hAnsi="宋体" w:cs="仿宋"/>
          <w:sz w:val="24"/>
        </w:rPr>
        <w:t>.</w:t>
      </w:r>
      <w:r>
        <w:rPr>
          <w:rFonts w:hint="eastAsia" w:ascii="宋体" w:hAnsi="宋体" w:cs="仿宋"/>
          <w:sz w:val="24"/>
        </w:rPr>
        <w:t>75万元，其中广州医科大学附属番禺中心医院</w:t>
      </w:r>
      <w:r>
        <w:rPr>
          <w:rFonts w:ascii="宋体" w:hAnsi="宋体" w:cs="仿宋"/>
          <w:sz w:val="24"/>
        </w:rPr>
        <w:t>37.69</w:t>
      </w:r>
      <w:r>
        <w:rPr>
          <w:rFonts w:hint="eastAsia" w:ascii="宋体" w:hAnsi="宋体" w:cs="仿宋"/>
          <w:sz w:val="24"/>
        </w:rPr>
        <w:t>万元，广州市</w:t>
      </w:r>
      <w:r>
        <w:rPr>
          <w:rFonts w:ascii="宋体" w:hAnsi="宋体" w:cs="仿宋"/>
          <w:sz w:val="24"/>
        </w:rPr>
        <w:t>番禺区第七人民医院4.06</w:t>
      </w:r>
      <w:r>
        <w:rPr>
          <w:rFonts w:hint="eastAsia" w:ascii="宋体" w:hAnsi="宋体" w:cs="仿宋"/>
          <w:sz w:val="24"/>
        </w:rPr>
        <w:t>万元。</w:t>
      </w:r>
    </w:p>
    <w:p>
      <w:pPr>
        <w:adjustRightInd w:val="0"/>
        <w:snapToGrid w:val="0"/>
        <w:spacing w:line="360" w:lineRule="auto"/>
        <w:ind w:firstLine="480" w:firstLineChars="200"/>
        <w:rPr>
          <w:rFonts w:ascii="宋体" w:hAnsi="宋体" w:cs="仿宋"/>
          <w:sz w:val="24"/>
        </w:rPr>
      </w:pPr>
      <w:r>
        <w:rPr>
          <w:rFonts w:hint="eastAsia" w:ascii="宋体" w:hAnsi="宋体" w:cs="仿宋"/>
          <w:sz w:val="24"/>
        </w:rPr>
        <w:t>四、服务</w:t>
      </w:r>
      <w:r>
        <w:rPr>
          <w:rFonts w:ascii="宋体" w:hAnsi="宋体" w:cs="仿宋"/>
          <w:sz w:val="24"/>
        </w:rPr>
        <w:t>期</w:t>
      </w:r>
      <w:r>
        <w:rPr>
          <w:rFonts w:hint="eastAsia" w:ascii="宋体" w:hAnsi="宋体" w:cs="仿宋"/>
          <w:sz w:val="24"/>
        </w:rPr>
        <w:t>：2年，合同期满或结算金额达到</w:t>
      </w:r>
      <w:r>
        <w:rPr>
          <w:rFonts w:ascii="宋体" w:hAnsi="宋体" w:cs="仿宋"/>
          <w:b/>
          <w:bCs/>
          <w:sz w:val="24"/>
        </w:rPr>
        <w:t>项目结算总额</w:t>
      </w:r>
      <w:r>
        <w:rPr>
          <w:rFonts w:hint="eastAsia" w:ascii="宋体" w:hAnsi="宋体" w:cs="仿宋"/>
          <w:sz w:val="24"/>
        </w:rPr>
        <w:t>则合同终止。</w:t>
      </w:r>
    </w:p>
    <w:p>
      <w:pPr>
        <w:adjustRightInd w:val="0"/>
        <w:snapToGrid w:val="0"/>
        <w:spacing w:line="360" w:lineRule="auto"/>
        <w:ind w:firstLine="480" w:firstLineChars="200"/>
        <w:rPr>
          <w:rFonts w:ascii="宋体" w:hAnsi="宋体" w:cs="仿宋"/>
          <w:sz w:val="24"/>
        </w:rPr>
      </w:pPr>
      <w:r>
        <w:rPr>
          <w:rFonts w:hint="eastAsia" w:ascii="宋体" w:hAnsi="宋体" w:cs="仿宋"/>
          <w:sz w:val="24"/>
          <w:lang w:val="en-US" w:eastAsia="zh-CN"/>
        </w:rPr>
        <w:t>五</w:t>
      </w:r>
      <w:r>
        <w:rPr>
          <w:rFonts w:hint="eastAsia" w:ascii="宋体" w:hAnsi="宋体" w:cs="仿宋"/>
          <w:sz w:val="24"/>
        </w:rPr>
        <w:t>、可回收物主要种类表（包括但不限于以下物品）</w:t>
      </w:r>
    </w:p>
    <w:tbl>
      <w:tblPr>
        <w:tblStyle w:val="37"/>
        <w:tblW w:w="5000" w:type="pct"/>
        <w:jc w:val="center"/>
        <w:tblLayout w:type="autofit"/>
        <w:tblCellMar>
          <w:top w:w="15" w:type="dxa"/>
          <w:left w:w="15" w:type="dxa"/>
          <w:bottom w:w="15" w:type="dxa"/>
          <w:right w:w="15" w:type="dxa"/>
        </w:tblCellMar>
      </w:tblPr>
      <w:tblGrid>
        <w:gridCol w:w="582"/>
        <w:gridCol w:w="2097"/>
        <w:gridCol w:w="1627"/>
        <w:gridCol w:w="1550"/>
        <w:gridCol w:w="1389"/>
        <w:gridCol w:w="1091"/>
      </w:tblGrid>
      <w:tr>
        <w:tblPrEx>
          <w:tblCellMar>
            <w:top w:w="15" w:type="dxa"/>
            <w:left w:w="15" w:type="dxa"/>
            <w:bottom w:w="15" w:type="dxa"/>
            <w:right w:w="15" w:type="dxa"/>
          </w:tblCellMar>
        </w:tblPrEx>
        <w:trPr>
          <w:trHeight w:val="283" w:hRule="atLeast"/>
          <w:jc w:val="center"/>
        </w:trPr>
        <w:tc>
          <w:tcPr>
            <w:tcW w:w="349"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bookmarkStart w:id="9" w:name="OLE_LINK41"/>
            <w:bookmarkStart w:id="10" w:name="OLE_LINK42"/>
            <w:r>
              <w:rPr>
                <w:rFonts w:hint="eastAsia" w:ascii="宋体" w:hAnsi="宋体"/>
                <w:szCs w:val="21"/>
              </w:rPr>
              <w:t>序号</w:t>
            </w:r>
          </w:p>
        </w:tc>
        <w:tc>
          <w:tcPr>
            <w:tcW w:w="1258"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名称</w:t>
            </w:r>
          </w:p>
        </w:tc>
        <w:tc>
          <w:tcPr>
            <w:tcW w:w="1906"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参考数量（K</w:t>
            </w:r>
            <w:r>
              <w:rPr>
                <w:rFonts w:hint="default" w:ascii="宋体" w:hAnsi="宋体"/>
                <w:szCs w:val="21"/>
              </w:rPr>
              <w:t>G/2</w:t>
            </w:r>
            <w:r>
              <w:rPr>
                <w:rFonts w:hint="eastAsia" w:ascii="宋体" w:hAnsi="宋体"/>
                <w:szCs w:val="21"/>
              </w:rPr>
              <w:t>年）</w:t>
            </w:r>
          </w:p>
        </w:tc>
        <w:tc>
          <w:tcPr>
            <w:tcW w:w="833" w:type="pct"/>
            <w:vMerge w:val="restart"/>
            <w:tcBorders>
              <w:top w:val="single" w:color="000000" w:sz="4" w:space="0"/>
              <w:left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最低单价限价</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（元/</w:t>
            </w:r>
            <w:r>
              <w:rPr>
                <w:rFonts w:hint="default" w:ascii="宋体" w:hAnsi="宋体"/>
                <w:szCs w:val="21"/>
              </w:rPr>
              <w:t>KG</w:t>
            </w:r>
            <w:r>
              <w:rPr>
                <w:rFonts w:hint="eastAsia" w:ascii="宋体" w:hAnsi="宋体"/>
                <w:szCs w:val="21"/>
              </w:rPr>
              <w:t>）</w:t>
            </w:r>
          </w:p>
        </w:tc>
        <w:tc>
          <w:tcPr>
            <w:tcW w:w="654"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备注</w:t>
            </w:r>
          </w:p>
        </w:tc>
      </w:tr>
      <w:tr>
        <w:tblPrEx>
          <w:tblCellMar>
            <w:top w:w="15" w:type="dxa"/>
            <w:left w:w="15" w:type="dxa"/>
            <w:bottom w:w="15" w:type="dxa"/>
            <w:right w:w="15" w:type="dxa"/>
          </w:tblCellMar>
        </w:tblPrEx>
        <w:trPr>
          <w:trHeight w:val="283" w:hRule="atLeast"/>
          <w:jc w:val="center"/>
        </w:trPr>
        <w:tc>
          <w:tcPr>
            <w:tcW w:w="349"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1258"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广州医科大学附属番禺中心医院</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广州市番禺区第七人民医院</w:t>
            </w:r>
          </w:p>
        </w:tc>
        <w:tc>
          <w:tcPr>
            <w:tcW w:w="833" w:type="pct"/>
            <w:vMerge w:val="continue"/>
            <w:tcBorders>
              <w:left w:val="single" w:color="000000" w:sz="4" w:space="0"/>
              <w:bottom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654"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废塑料输液袋（瓶）</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（未污染）</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103500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r>
              <w:rPr>
                <w:rFonts w:hint="default" w:ascii="宋体" w:hAnsi="宋体"/>
                <w:szCs w:val="21"/>
              </w:rPr>
              <w:t>200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2</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废塑料A</w:t>
            </w:r>
            <w:r>
              <w:rPr>
                <w:rFonts w:hint="default" w:ascii="宋体" w:hAnsi="宋体"/>
                <w:szCs w:val="21"/>
              </w:rPr>
              <w:t>B</w:t>
            </w:r>
            <w:r>
              <w:rPr>
                <w:rFonts w:hint="eastAsia" w:ascii="宋体" w:hAnsi="宋体"/>
                <w:szCs w:val="21"/>
              </w:rPr>
              <w:t>胶桶</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26900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r>
              <w:rPr>
                <w:rFonts w:hint="default" w:ascii="宋体" w:hAnsi="宋体"/>
                <w:szCs w:val="21"/>
              </w:rPr>
              <w:t>1600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废玻璃输液瓶</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157600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r>
              <w:rPr>
                <w:rFonts w:hint="default" w:ascii="宋体" w:hAnsi="宋体"/>
                <w:szCs w:val="21"/>
              </w:rPr>
              <w:t>200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4</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废书纸</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1000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r>
              <w:rPr>
                <w:rFonts w:hint="default" w:ascii="宋体" w:hAnsi="宋体"/>
                <w:szCs w:val="21"/>
              </w:rPr>
              <w:t>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5</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废塑料（饮料瓶、胶盆桶、胶瓶等塑料制品）</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15600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1400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0.70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6</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废塑料薄膜（未污染）</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0.50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废纸箱</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354100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r>
              <w:rPr>
                <w:rFonts w:hint="default" w:ascii="宋体" w:hAnsi="宋体"/>
                <w:szCs w:val="21"/>
              </w:rPr>
              <w:t>2900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废杂纸、</w:t>
            </w:r>
            <w:r>
              <w:rPr>
                <w:rFonts w:hint="default" w:ascii="宋体" w:hAnsi="宋体"/>
                <w:szCs w:val="21"/>
              </w:rPr>
              <w:t>废</w:t>
            </w:r>
            <w:r>
              <w:rPr>
                <w:rFonts w:hint="eastAsia" w:ascii="宋体" w:hAnsi="宋体"/>
                <w:szCs w:val="21"/>
              </w:rPr>
              <w:t>药纸盒</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170900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r>
              <w:rPr>
                <w:rFonts w:hint="default" w:ascii="宋体" w:hAnsi="宋体"/>
                <w:szCs w:val="21"/>
              </w:rPr>
              <w:t>800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9</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废铁</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3000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3700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700"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10</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废处方纸</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20800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r>
              <w:rPr>
                <w:rFonts w:hint="default" w:ascii="宋体" w:hAnsi="宋体"/>
                <w:szCs w:val="21"/>
              </w:rPr>
              <w:t>0200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要求</w:t>
            </w:r>
            <w:r>
              <w:rPr>
                <w:rFonts w:hint="default" w:ascii="宋体" w:hAnsi="宋体"/>
                <w:szCs w:val="21"/>
              </w:rPr>
              <w:t>成交供应商</w:t>
            </w:r>
            <w:r>
              <w:rPr>
                <w:rFonts w:hint="eastAsia" w:ascii="宋体" w:hAnsi="宋体"/>
                <w:szCs w:val="21"/>
              </w:rPr>
              <w:t>自备破碎机，</w:t>
            </w:r>
            <w:r>
              <w:rPr>
                <w:rFonts w:hint="default" w:ascii="宋体" w:hAnsi="宋体"/>
                <w:szCs w:val="21"/>
              </w:rPr>
              <w:t>在院内破碎</w:t>
            </w:r>
            <w:r>
              <w:rPr>
                <w:rFonts w:hint="eastAsia" w:ascii="宋体" w:hAnsi="宋体"/>
                <w:szCs w:val="21"/>
              </w:rPr>
              <w:t>后</w:t>
            </w:r>
            <w:r>
              <w:rPr>
                <w:rFonts w:hint="default" w:ascii="宋体" w:hAnsi="宋体"/>
                <w:szCs w:val="21"/>
              </w:rPr>
              <w:t>才能外运</w:t>
            </w: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11</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废报纸</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600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0.80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12</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废泡沫</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1300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p>
        </w:tc>
        <w:tc>
          <w:tcPr>
            <w:tcW w:w="833"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654"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592"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13</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废旧床垫</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800</w:t>
            </w:r>
          </w:p>
        </w:tc>
        <w:tc>
          <w:tcPr>
            <w:tcW w:w="930" w:type="pct"/>
            <w:tcBorders>
              <w:top w:val="single" w:color="000000" w:sz="4" w:space="0"/>
              <w:left w:val="single" w:color="000000" w:sz="4" w:space="0"/>
              <w:bottom w:val="single" w:color="000000"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200</w:t>
            </w:r>
          </w:p>
        </w:tc>
        <w:tc>
          <w:tcPr>
            <w:tcW w:w="833"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成交供应商须在院内毁形后再清运</w:t>
            </w:r>
          </w:p>
        </w:tc>
      </w:tr>
      <w:tr>
        <w:tblPrEx>
          <w:tblCellMar>
            <w:top w:w="15" w:type="dxa"/>
            <w:left w:w="15" w:type="dxa"/>
            <w:bottom w:w="15" w:type="dxa"/>
            <w:right w:w="15" w:type="dxa"/>
          </w:tblCellMar>
        </w:tblPrEx>
        <w:trPr>
          <w:trHeight w:val="342" w:hRule="atLeast"/>
          <w:jc w:val="center"/>
        </w:trPr>
        <w:tc>
          <w:tcPr>
            <w:tcW w:w="349"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14</w:t>
            </w:r>
          </w:p>
        </w:tc>
        <w:tc>
          <w:tcPr>
            <w:tcW w:w="1258"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废旧木家具</w:t>
            </w:r>
          </w:p>
        </w:tc>
        <w:tc>
          <w:tcPr>
            <w:tcW w:w="976"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700</w:t>
            </w:r>
          </w:p>
        </w:tc>
        <w:tc>
          <w:tcPr>
            <w:tcW w:w="930" w:type="pct"/>
            <w:tcBorders>
              <w:top w:val="single" w:color="000000"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150</w:t>
            </w:r>
          </w:p>
        </w:tc>
        <w:tc>
          <w:tcPr>
            <w:tcW w:w="833"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595" w:hRule="atLeast"/>
          <w:jc w:val="center"/>
        </w:trPr>
        <w:tc>
          <w:tcPr>
            <w:tcW w:w="5000" w:type="pct"/>
            <w:gridSpan w:val="6"/>
            <w:tcBorders>
              <w:top w:val="single" w:color="auto" w:sz="4" w:space="0"/>
              <w:left w:val="single" w:color="000000" w:sz="4" w:space="0"/>
              <w:bottom w:val="single" w:color="000000" w:sz="4" w:space="0"/>
              <w:right w:val="single" w:color="000000" w:sz="4" w:space="0"/>
            </w:tcBorders>
          </w:tcPr>
          <w:p>
            <w:pPr>
              <w:keepNext w:val="0"/>
              <w:keepLines w:val="0"/>
              <w:suppressLineNumbers w:val="0"/>
              <w:spacing w:before="0" w:beforeAutospacing="0" w:after="0" w:afterAutospacing="0" w:line="360" w:lineRule="auto"/>
              <w:ind w:left="0" w:right="0"/>
              <w:rPr>
                <w:rFonts w:hint="default" w:ascii="宋体" w:hAnsi="宋体"/>
                <w:szCs w:val="21"/>
              </w:rPr>
            </w:pPr>
            <w:r>
              <w:rPr>
                <w:rFonts w:hint="eastAsia" w:ascii="宋体" w:hAnsi="宋体"/>
                <w:szCs w:val="21"/>
              </w:rPr>
              <w:t>备注：参考数量仅作报价参考，实际数量以现场产生情况为准。</w:t>
            </w:r>
          </w:p>
        </w:tc>
      </w:tr>
      <w:bookmarkEnd w:id="9"/>
      <w:bookmarkEnd w:id="10"/>
    </w:tbl>
    <w:p>
      <w:pPr>
        <w:adjustRightInd w:val="0"/>
        <w:snapToGrid w:val="0"/>
        <w:spacing w:line="360" w:lineRule="auto"/>
        <w:ind w:left="-143" w:leftChars="-68" w:firstLine="480" w:firstLineChars="200"/>
        <w:rPr>
          <w:rFonts w:ascii="宋体" w:hAnsi="宋体" w:cs="仿宋"/>
          <w:color w:val="000000"/>
          <w:kern w:val="0"/>
          <w:sz w:val="24"/>
          <w:lang w:bidi="ar"/>
        </w:rPr>
      </w:pPr>
      <w:r>
        <w:rPr>
          <w:rFonts w:hint="eastAsia" w:ascii="宋体" w:hAnsi="宋体" w:cs="仿宋"/>
          <w:color w:val="000000"/>
          <w:kern w:val="0"/>
          <w:sz w:val="24"/>
          <w:lang w:val="en-US" w:eastAsia="zh-CN" w:bidi="ar"/>
        </w:rPr>
        <w:t>六</w:t>
      </w:r>
      <w:r>
        <w:rPr>
          <w:rFonts w:ascii="宋体" w:hAnsi="宋体" w:cs="仿宋"/>
          <w:color w:val="000000"/>
          <w:kern w:val="0"/>
          <w:sz w:val="24"/>
          <w:lang w:bidi="ar"/>
        </w:rPr>
        <w:t>、</w:t>
      </w:r>
      <w:r>
        <w:rPr>
          <w:rFonts w:hint="eastAsia" w:ascii="宋体" w:hAnsi="宋体" w:cs="仿宋"/>
          <w:color w:val="000000"/>
          <w:kern w:val="0"/>
          <w:sz w:val="24"/>
          <w:lang w:bidi="ar"/>
        </w:rPr>
        <w:t>可回收物收集和暂存管理要求</w:t>
      </w:r>
    </w:p>
    <w:p>
      <w:pPr>
        <w:adjustRightInd w:val="0"/>
        <w:snapToGrid w:val="0"/>
        <w:spacing w:line="360" w:lineRule="auto"/>
        <w:ind w:left="-143" w:leftChars="-68" w:firstLine="480" w:firstLineChars="200"/>
        <w:rPr>
          <w:rFonts w:ascii="宋体" w:hAnsi="宋体" w:cs="仿宋"/>
          <w:sz w:val="24"/>
        </w:rPr>
      </w:pPr>
      <w:r>
        <w:rPr>
          <w:rFonts w:ascii="宋体" w:hAnsi="宋体" w:cs="仿宋"/>
          <w:sz w:val="24"/>
        </w:rPr>
        <w:t>1</w:t>
      </w:r>
      <w:r>
        <w:rPr>
          <w:rFonts w:hint="eastAsia" w:ascii="宋体" w:hAnsi="宋体" w:cs="仿宋"/>
          <w:sz w:val="24"/>
        </w:rPr>
        <w:t>、</w:t>
      </w:r>
      <w:r>
        <w:rPr>
          <w:rFonts w:ascii="宋体" w:hAnsi="宋体" w:cs="仿宋"/>
          <w:sz w:val="24"/>
        </w:rPr>
        <w:t>成交供应</w:t>
      </w:r>
      <w:r>
        <w:rPr>
          <w:rFonts w:hint="eastAsia" w:ascii="宋体" w:hAnsi="宋体" w:cs="仿宋"/>
          <w:sz w:val="24"/>
        </w:rPr>
        <w:t>商到</w:t>
      </w:r>
      <w:r>
        <w:rPr>
          <w:rFonts w:ascii="宋体" w:hAnsi="宋体" w:cs="仿宋"/>
          <w:sz w:val="24"/>
        </w:rPr>
        <w:t>采购人</w:t>
      </w:r>
      <w:r>
        <w:rPr>
          <w:rFonts w:hint="eastAsia" w:ascii="宋体" w:hAnsi="宋体" w:cs="仿宋"/>
          <w:sz w:val="24"/>
        </w:rPr>
        <w:t>指定的废物暂存处</w:t>
      </w:r>
      <w:r>
        <w:rPr>
          <w:rFonts w:ascii="宋体" w:hAnsi="宋体" w:cs="仿宋"/>
          <w:sz w:val="24"/>
        </w:rPr>
        <w:t>，</w:t>
      </w:r>
      <w:r>
        <w:rPr>
          <w:rFonts w:hint="eastAsia" w:ascii="宋体" w:hAnsi="宋体" w:cs="仿宋"/>
          <w:sz w:val="24"/>
        </w:rPr>
        <w:t>对回收的物品进行分类及整理</w:t>
      </w:r>
      <w:r>
        <w:rPr>
          <w:rFonts w:ascii="宋体" w:hAnsi="宋体" w:cs="仿宋"/>
          <w:sz w:val="24"/>
        </w:rPr>
        <w:t>后进行收运，必须</w:t>
      </w:r>
      <w:r>
        <w:rPr>
          <w:rFonts w:hint="eastAsia" w:ascii="宋体" w:hAnsi="宋体" w:cs="仿宋"/>
          <w:sz w:val="24"/>
        </w:rPr>
        <w:t>保证场地卫生整洁，防火安全，并服从</w:t>
      </w:r>
      <w:r>
        <w:rPr>
          <w:rFonts w:ascii="宋体" w:hAnsi="宋体" w:cs="仿宋"/>
          <w:sz w:val="24"/>
        </w:rPr>
        <w:t>采购人</w:t>
      </w:r>
      <w:r>
        <w:rPr>
          <w:rFonts w:hint="eastAsia" w:ascii="宋体" w:hAnsi="宋体" w:cs="仿宋"/>
          <w:sz w:val="24"/>
        </w:rPr>
        <w:t>的管理。</w:t>
      </w:r>
    </w:p>
    <w:p>
      <w:pPr>
        <w:adjustRightInd w:val="0"/>
        <w:snapToGrid w:val="0"/>
        <w:spacing w:line="360" w:lineRule="auto"/>
        <w:ind w:left="-143" w:leftChars="-68" w:firstLine="480" w:firstLineChars="200"/>
        <w:rPr>
          <w:rFonts w:ascii="宋体" w:hAnsi="宋体" w:cs="仿宋"/>
          <w:sz w:val="24"/>
        </w:rPr>
      </w:pPr>
      <w:r>
        <w:rPr>
          <w:rFonts w:hint="eastAsia" w:ascii="宋体" w:hAnsi="宋体" w:cs="仿宋"/>
          <w:sz w:val="24"/>
        </w:rPr>
        <w:t>2、</w:t>
      </w:r>
      <w:r>
        <w:rPr>
          <w:rFonts w:ascii="宋体" w:hAnsi="宋体" w:cs="仿宋"/>
          <w:sz w:val="24"/>
        </w:rPr>
        <w:t>成交供应</w:t>
      </w:r>
      <w:r>
        <w:rPr>
          <w:rFonts w:hint="eastAsia" w:ascii="宋体" w:hAnsi="宋体" w:cs="仿宋"/>
          <w:sz w:val="24"/>
        </w:rPr>
        <w:t>商</w:t>
      </w:r>
      <w:r>
        <w:rPr>
          <w:rFonts w:ascii="宋体" w:hAnsi="宋体" w:cs="仿宋"/>
          <w:sz w:val="24"/>
        </w:rPr>
        <w:t>自备</w:t>
      </w:r>
      <w:r>
        <w:rPr>
          <w:rFonts w:hint="eastAsia" w:ascii="宋体" w:hAnsi="宋体" w:cs="仿宋"/>
          <w:sz w:val="24"/>
        </w:rPr>
        <w:t>收集可回收物所需的物料</w:t>
      </w:r>
      <w:r>
        <w:rPr>
          <w:rFonts w:ascii="宋体" w:hAnsi="宋体" w:cs="仿宋"/>
          <w:sz w:val="24"/>
        </w:rPr>
        <w:t>：</w:t>
      </w:r>
      <w:r>
        <w:rPr>
          <w:rFonts w:hint="eastAsia" w:ascii="宋体" w:hAnsi="宋体" w:cs="仿宋"/>
          <w:sz w:val="24"/>
        </w:rPr>
        <w:t>装输液袋（瓶）的垃圾袋、平板车、磅秤</w:t>
      </w:r>
      <w:r>
        <w:rPr>
          <w:rFonts w:ascii="宋体" w:hAnsi="宋体" w:cs="仿宋"/>
          <w:sz w:val="24"/>
        </w:rPr>
        <w:t>、</w:t>
      </w:r>
      <w:bookmarkStart w:id="11" w:name="OLE_LINK12"/>
      <w:bookmarkStart w:id="12" w:name="OLE_LINK11"/>
      <w:r>
        <w:rPr>
          <w:rFonts w:ascii="宋体" w:hAnsi="宋体" w:cs="仿宋"/>
          <w:sz w:val="24"/>
        </w:rPr>
        <w:t>纸张破碎机</w:t>
      </w:r>
      <w:bookmarkEnd w:id="11"/>
      <w:bookmarkEnd w:id="12"/>
      <w:r>
        <w:rPr>
          <w:rFonts w:ascii="宋体" w:hAnsi="宋体" w:cs="仿宋"/>
          <w:sz w:val="24"/>
        </w:rPr>
        <w:t>等</w:t>
      </w:r>
      <w:r>
        <w:rPr>
          <w:rFonts w:hint="eastAsia" w:ascii="宋体" w:hAnsi="宋体" w:cs="仿宋"/>
          <w:sz w:val="24"/>
        </w:rPr>
        <w:t>。</w:t>
      </w:r>
    </w:p>
    <w:p>
      <w:pPr>
        <w:adjustRightInd w:val="0"/>
        <w:snapToGrid w:val="0"/>
        <w:spacing w:line="360" w:lineRule="auto"/>
        <w:ind w:left="-143" w:leftChars="-68" w:firstLine="480" w:firstLineChars="200"/>
        <w:rPr>
          <w:rFonts w:ascii="宋体" w:hAnsi="宋体" w:cs="仿宋"/>
          <w:color w:val="000000"/>
          <w:kern w:val="0"/>
          <w:sz w:val="24"/>
          <w:lang w:bidi="ar"/>
        </w:rPr>
      </w:pPr>
      <w:r>
        <w:rPr>
          <w:rFonts w:hint="eastAsia" w:ascii="宋体" w:hAnsi="宋体" w:cs="仿宋"/>
          <w:sz w:val="24"/>
        </w:rPr>
        <w:t>3、</w:t>
      </w:r>
      <w:r>
        <w:rPr>
          <w:rFonts w:ascii="宋体" w:hAnsi="宋体" w:cs="仿宋"/>
          <w:sz w:val="24"/>
        </w:rPr>
        <w:t>采购人</w:t>
      </w:r>
      <w:r>
        <w:rPr>
          <w:rFonts w:hint="eastAsia" w:ascii="宋体" w:hAnsi="宋体" w:cs="仿宋"/>
          <w:sz w:val="24"/>
        </w:rPr>
        <w:t>提供</w:t>
      </w:r>
      <w:r>
        <w:rPr>
          <w:rFonts w:ascii="宋体" w:hAnsi="宋体" w:cs="仿宋"/>
          <w:sz w:val="24"/>
        </w:rPr>
        <w:t>一间可回收物</w:t>
      </w:r>
      <w:r>
        <w:rPr>
          <w:rFonts w:hint="eastAsia" w:ascii="宋体" w:hAnsi="宋体" w:cs="仿宋"/>
          <w:sz w:val="24"/>
        </w:rPr>
        <w:t>暂存仓，</w:t>
      </w:r>
      <w:r>
        <w:rPr>
          <w:rFonts w:ascii="宋体" w:hAnsi="宋体" w:cs="仿宋"/>
          <w:sz w:val="24"/>
        </w:rPr>
        <w:t>成交供应</w:t>
      </w:r>
      <w:r>
        <w:rPr>
          <w:rFonts w:hint="eastAsia" w:ascii="宋体" w:hAnsi="宋体" w:cs="仿宋"/>
          <w:sz w:val="24"/>
        </w:rPr>
        <w:t>商</w:t>
      </w:r>
      <w:r>
        <w:rPr>
          <w:rFonts w:ascii="宋体" w:hAnsi="宋体" w:cs="仿宋"/>
          <w:sz w:val="24"/>
        </w:rPr>
        <w:t>需对</w:t>
      </w:r>
      <w:r>
        <w:rPr>
          <w:rFonts w:hint="eastAsia" w:ascii="宋体" w:hAnsi="宋体" w:cs="仿宋"/>
          <w:sz w:val="24"/>
        </w:rPr>
        <w:t>收集的可回收物</w:t>
      </w:r>
      <w:r>
        <w:rPr>
          <w:rFonts w:ascii="宋体" w:hAnsi="宋体" w:cs="仿宋"/>
          <w:sz w:val="24"/>
        </w:rPr>
        <w:t>进行</w:t>
      </w:r>
      <w:r>
        <w:rPr>
          <w:rFonts w:hint="eastAsia" w:ascii="宋体" w:hAnsi="宋体" w:cs="仿宋"/>
          <w:sz w:val="24"/>
        </w:rPr>
        <w:t>分类、分区放置，标识清晰，并做好防火、防病媒生物孳生等安全管理措施。</w:t>
      </w:r>
    </w:p>
    <w:p>
      <w:pPr>
        <w:adjustRightInd w:val="0"/>
        <w:snapToGrid w:val="0"/>
        <w:spacing w:line="360" w:lineRule="auto"/>
        <w:ind w:firstLine="480" w:firstLineChars="200"/>
        <w:rPr>
          <w:rFonts w:ascii="宋体" w:hAnsi="宋体" w:cs="仿宋"/>
          <w:sz w:val="24"/>
        </w:rPr>
      </w:pPr>
      <w:r>
        <w:rPr>
          <w:rFonts w:hint="eastAsia" w:ascii="宋体" w:hAnsi="宋体" w:cs="仿宋"/>
          <w:sz w:val="24"/>
          <w:lang w:val="en-US" w:eastAsia="zh-CN"/>
        </w:rPr>
        <w:t>七</w:t>
      </w:r>
      <w:r>
        <w:rPr>
          <w:rFonts w:hint="eastAsia" w:ascii="宋体" w:hAnsi="宋体" w:cs="仿宋"/>
          <w:sz w:val="24"/>
        </w:rPr>
        <w:t>、结算方式</w:t>
      </w:r>
    </w:p>
    <w:p>
      <w:pPr>
        <w:adjustRightInd w:val="0"/>
        <w:snapToGrid w:val="0"/>
        <w:spacing w:line="360" w:lineRule="auto"/>
        <w:ind w:left="2" w:firstLine="480" w:firstLineChars="200"/>
        <w:rPr>
          <w:rFonts w:ascii="宋体" w:hAnsi="宋体" w:cs="仿宋"/>
          <w:sz w:val="24"/>
        </w:rPr>
      </w:pPr>
      <w:r>
        <w:rPr>
          <w:rFonts w:hint="eastAsia" w:ascii="宋体" w:hAnsi="宋体" w:cs="仿宋"/>
          <w:sz w:val="24"/>
        </w:rPr>
        <w:t>（一）以等价物资置换方式每月结算。</w:t>
      </w:r>
      <w:r>
        <w:rPr>
          <w:rFonts w:ascii="宋体" w:hAnsi="宋体" w:cs="仿宋"/>
          <w:sz w:val="24"/>
        </w:rPr>
        <w:t>成交供应</w:t>
      </w:r>
      <w:r>
        <w:rPr>
          <w:rFonts w:hint="eastAsia" w:ascii="宋体" w:hAnsi="宋体" w:cs="仿宋"/>
          <w:sz w:val="24"/>
        </w:rPr>
        <w:t>商每月8号前向</w:t>
      </w:r>
      <w:r>
        <w:rPr>
          <w:rFonts w:ascii="宋体" w:hAnsi="宋体" w:cs="仿宋"/>
          <w:sz w:val="24"/>
        </w:rPr>
        <w:t>采购人</w:t>
      </w:r>
      <w:r>
        <w:rPr>
          <w:rFonts w:hint="eastAsia" w:ascii="宋体" w:hAnsi="宋体" w:cs="仿宋"/>
          <w:sz w:val="24"/>
        </w:rPr>
        <w:t>提供</w:t>
      </w:r>
      <w:r>
        <w:rPr>
          <w:rFonts w:ascii="宋体" w:hAnsi="宋体" w:cs="仿宋"/>
          <w:sz w:val="24"/>
        </w:rPr>
        <w:t>已签名确认的</w:t>
      </w:r>
      <w:r>
        <w:rPr>
          <w:rFonts w:hint="eastAsia" w:ascii="宋体" w:hAnsi="宋体" w:cs="仿宋"/>
          <w:sz w:val="24"/>
        </w:rPr>
        <w:t>《环保服务单》证明可回收物数量和流向</w:t>
      </w:r>
      <w:r>
        <w:rPr>
          <w:rFonts w:ascii="宋体" w:hAnsi="宋体" w:cs="仿宋"/>
          <w:sz w:val="24"/>
        </w:rPr>
        <w:t>、</w:t>
      </w:r>
      <w:r>
        <w:rPr>
          <w:rFonts w:hint="eastAsia" w:ascii="宋体" w:hAnsi="宋体" w:cs="仿宋"/>
          <w:sz w:val="24"/>
        </w:rPr>
        <w:t>月统计报表</w:t>
      </w:r>
      <w:r>
        <w:rPr>
          <w:rFonts w:ascii="宋体" w:hAnsi="宋体" w:cs="仿宋"/>
          <w:sz w:val="24"/>
        </w:rPr>
        <w:t>，及置换物资签收表。</w:t>
      </w:r>
    </w:p>
    <w:p>
      <w:pPr>
        <w:adjustRightInd w:val="0"/>
        <w:snapToGrid w:val="0"/>
        <w:spacing w:line="360" w:lineRule="auto"/>
        <w:ind w:left="-2" w:leftChars="-1" w:firstLine="480" w:firstLineChars="200"/>
        <w:rPr>
          <w:rFonts w:ascii="宋体" w:hAnsi="宋体" w:cs="仿宋"/>
          <w:sz w:val="24"/>
        </w:rPr>
      </w:pPr>
      <w:r>
        <w:rPr>
          <w:rFonts w:hint="eastAsia" w:ascii="宋体" w:hAnsi="宋体" w:cs="仿宋"/>
          <w:sz w:val="24"/>
        </w:rPr>
        <w:t>（二）</w:t>
      </w:r>
      <w:r>
        <w:rPr>
          <w:rFonts w:ascii="宋体" w:hAnsi="宋体" w:cs="仿宋"/>
          <w:sz w:val="24"/>
        </w:rPr>
        <w:t>置换物资清单</w:t>
      </w:r>
      <w:r>
        <w:rPr>
          <w:rFonts w:hint="eastAsia" w:ascii="宋体" w:hAnsi="宋体" w:cs="仿宋"/>
          <w:sz w:val="24"/>
        </w:rPr>
        <w:t>：序号4、7、8、9、1</w:t>
      </w:r>
      <w:r>
        <w:rPr>
          <w:rFonts w:ascii="宋体" w:hAnsi="宋体" w:cs="仿宋"/>
          <w:sz w:val="24"/>
        </w:rPr>
        <w:t>0</w:t>
      </w:r>
      <w:r>
        <w:rPr>
          <w:rFonts w:hint="eastAsia" w:ascii="宋体" w:hAnsi="宋体" w:cs="仿宋"/>
          <w:sz w:val="24"/>
        </w:rPr>
        <w:t>、1</w:t>
      </w:r>
      <w:r>
        <w:rPr>
          <w:rFonts w:ascii="宋体" w:hAnsi="宋体" w:cs="仿宋"/>
          <w:sz w:val="24"/>
        </w:rPr>
        <w:t>1</w:t>
      </w:r>
      <w:r>
        <w:rPr>
          <w:rFonts w:hint="eastAsia" w:ascii="宋体" w:hAnsi="宋体" w:cs="仿宋"/>
          <w:b/>
          <w:bCs/>
          <w:sz w:val="24"/>
          <w:highlight w:val="yellow"/>
          <w:lang w:bidi="ar"/>
        </w:rPr>
        <w:t>每个规格需提供一个样品</w:t>
      </w:r>
      <w:r>
        <w:rPr>
          <w:rFonts w:hint="eastAsia" w:ascii="宋体" w:hAnsi="宋体" w:cs="仿宋"/>
          <w:b/>
          <w:bCs/>
          <w:sz w:val="24"/>
          <w:lang w:bidi="ar"/>
        </w:rPr>
        <w:t>，共6个，</w:t>
      </w:r>
      <w:r>
        <w:rPr>
          <w:rFonts w:hint="eastAsia" w:ascii="宋体" w:hAnsi="宋体" w:cs="仿宋"/>
          <w:b w:val="0"/>
          <w:bCs w:val="0"/>
          <w:sz w:val="24"/>
          <w:lang w:bidi="ar"/>
        </w:rPr>
        <w:t>成交供应商的</w:t>
      </w:r>
      <w:r>
        <w:rPr>
          <w:rFonts w:hint="eastAsia" w:ascii="宋体" w:hAnsi="宋体" w:cs="仿宋"/>
          <w:sz w:val="24"/>
          <w:lang w:bidi="ar"/>
        </w:rPr>
        <w:t>样品由采购人留存作为货物验收对比依据，未成交供应商的样品由采购人通知另行取回。</w:t>
      </w:r>
      <w:r>
        <w:rPr>
          <w:rFonts w:hint="eastAsia" w:ascii="宋体" w:hAnsi="宋体" w:cs="仿宋"/>
          <w:sz w:val="24"/>
        </w:rPr>
        <w:t>（参考数量仅作报价参考，实际以采购人下单数量为准）</w:t>
      </w:r>
    </w:p>
    <w:tbl>
      <w:tblPr>
        <w:tblStyle w:val="37"/>
        <w:tblW w:w="5738" w:type="pct"/>
        <w:tblInd w:w="-601" w:type="dxa"/>
        <w:tblLayout w:type="autofit"/>
        <w:tblCellMar>
          <w:top w:w="0" w:type="dxa"/>
          <w:left w:w="108" w:type="dxa"/>
          <w:bottom w:w="0" w:type="dxa"/>
          <w:right w:w="108" w:type="dxa"/>
        </w:tblCellMar>
      </w:tblPr>
      <w:tblGrid>
        <w:gridCol w:w="679"/>
        <w:gridCol w:w="2107"/>
        <w:gridCol w:w="732"/>
        <w:gridCol w:w="2474"/>
        <w:gridCol w:w="956"/>
        <w:gridCol w:w="1048"/>
        <w:gridCol w:w="1107"/>
        <w:gridCol w:w="677"/>
      </w:tblGrid>
      <w:tr>
        <w:tblPrEx>
          <w:tblCellMar>
            <w:top w:w="0" w:type="dxa"/>
            <w:left w:w="108" w:type="dxa"/>
            <w:bottom w:w="0" w:type="dxa"/>
            <w:right w:w="108" w:type="dxa"/>
          </w:tblCellMar>
        </w:tblPrEx>
        <w:trPr>
          <w:trHeight w:val="402" w:hRule="atLeast"/>
        </w:trPr>
        <w:tc>
          <w:tcPr>
            <w:tcW w:w="347" w:type="pct"/>
            <w:vMerge w:val="restart"/>
            <w:tcBorders>
              <w:top w:val="single" w:color="auto" w:sz="8" w:space="0"/>
              <w:left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序号</w:t>
            </w:r>
          </w:p>
        </w:tc>
        <w:tc>
          <w:tcPr>
            <w:tcW w:w="1077" w:type="pct"/>
            <w:vMerge w:val="restar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名称</w:t>
            </w:r>
          </w:p>
        </w:tc>
        <w:tc>
          <w:tcPr>
            <w:tcW w:w="374" w:type="pct"/>
            <w:vMerge w:val="restar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容量</w:t>
            </w:r>
          </w:p>
        </w:tc>
        <w:tc>
          <w:tcPr>
            <w:tcW w:w="1265" w:type="pct"/>
            <w:vMerge w:val="restar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规格参数（cm）</w:t>
            </w:r>
          </w:p>
        </w:tc>
        <w:tc>
          <w:tcPr>
            <w:tcW w:w="1025" w:type="pct"/>
            <w:gridSpan w:val="2"/>
            <w:tcBorders>
              <w:top w:val="single" w:color="auto" w:sz="8" w:space="0"/>
              <w:left w:val="nil"/>
              <w:bottom w:val="single" w:color="auto" w:sz="8"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参考数量（个/</w:t>
            </w:r>
            <w:r>
              <w:rPr>
                <w:rFonts w:hint="default" w:ascii="宋体" w:hAnsi="宋体" w:cs="宋体"/>
                <w:color w:val="000000"/>
                <w:kern w:val="0"/>
                <w:szCs w:val="21"/>
              </w:rPr>
              <w:t>2</w:t>
            </w:r>
            <w:r>
              <w:rPr>
                <w:rFonts w:hint="eastAsia" w:ascii="宋体" w:hAnsi="宋体" w:cs="宋体"/>
                <w:color w:val="000000"/>
                <w:kern w:val="0"/>
                <w:szCs w:val="21"/>
              </w:rPr>
              <w:t>年）</w:t>
            </w:r>
          </w:p>
        </w:tc>
        <w:tc>
          <w:tcPr>
            <w:tcW w:w="566" w:type="pct"/>
            <w:vMerge w:val="restart"/>
            <w:tcBorders>
              <w:top w:val="single" w:color="auto" w:sz="4" w:space="0"/>
              <w:left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最高单价限价</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（元/个）</w:t>
            </w:r>
          </w:p>
        </w:tc>
        <w:tc>
          <w:tcPr>
            <w:tcW w:w="346"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备注</w:t>
            </w:r>
          </w:p>
        </w:tc>
      </w:tr>
      <w:tr>
        <w:tblPrEx>
          <w:tblCellMar>
            <w:top w:w="0" w:type="dxa"/>
            <w:left w:w="108" w:type="dxa"/>
            <w:bottom w:w="0" w:type="dxa"/>
            <w:right w:w="108" w:type="dxa"/>
          </w:tblCellMar>
        </w:tblPrEx>
        <w:trPr>
          <w:trHeight w:val="402" w:hRule="atLeast"/>
        </w:trPr>
        <w:tc>
          <w:tcPr>
            <w:tcW w:w="347" w:type="pct"/>
            <w:vMerge w:val="continue"/>
            <w:tcBorders>
              <w:left w:val="single" w:color="auto" w:sz="8" w:space="0"/>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1077" w:type="pct"/>
            <w:vMerge w:val="continue"/>
            <w:tcBorders>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374" w:type="pct"/>
            <w:vMerge w:val="continue"/>
            <w:tcBorders>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1265" w:type="pct"/>
            <w:vMerge w:val="continue"/>
            <w:tcBorders>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489" w:type="pct"/>
            <w:tcBorders>
              <w:top w:val="single" w:color="auto" w:sz="8" w:space="0"/>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szCs w:val="21"/>
              </w:rPr>
              <w:t>广州医科大学附属番禺中心医院</w:t>
            </w:r>
          </w:p>
        </w:tc>
        <w:tc>
          <w:tcPr>
            <w:tcW w:w="536" w:type="pct"/>
            <w:tcBorders>
              <w:top w:val="single" w:color="auto" w:sz="8" w:space="0"/>
              <w:left w:val="nil"/>
              <w:bottom w:val="single" w:color="auto" w:sz="8"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广州市番禺区第七人民医院</w:t>
            </w:r>
          </w:p>
        </w:tc>
        <w:tc>
          <w:tcPr>
            <w:tcW w:w="566" w:type="pct"/>
            <w:vMerge w:val="continue"/>
            <w:tcBorders>
              <w:left w:val="single" w:color="auto" w:sz="4" w:space="0"/>
              <w:bottom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直径12*高13</w:t>
            </w:r>
          </w:p>
        </w:tc>
        <w:tc>
          <w:tcPr>
            <w:tcW w:w="489"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szCs w:val="21"/>
              </w:rPr>
              <w:t>952</w:t>
            </w:r>
          </w:p>
        </w:tc>
        <w:tc>
          <w:tcPr>
            <w:tcW w:w="536" w:type="pct"/>
            <w:tcBorders>
              <w:top w:val="nil"/>
              <w:left w:val="nil"/>
              <w:bottom w:val="single" w:color="auto" w:sz="8"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szCs w:val="21"/>
              </w:rPr>
              <w:t>5</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Cs w:val="21"/>
              </w:rPr>
            </w:pPr>
            <w:r>
              <w:rPr>
                <w:rFonts w:hint="eastAsia" w:ascii="宋体" w:hAnsi="宋体"/>
                <w:color w:val="000000"/>
                <w:szCs w:val="21"/>
              </w:rPr>
              <w:t>1.10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直径14*高15</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578</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5</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1.50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直径17*高19</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346</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260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2.10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直径18*高20</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5950</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1200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2.40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5</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直径23*高21</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984</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2.90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直径23*高24</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360</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40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3.20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※7</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长25*宽20*高25.5</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10050</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660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5.00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1140"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13升</w:t>
            </w:r>
          </w:p>
        </w:tc>
        <w:tc>
          <w:tcPr>
            <w:tcW w:w="1265" w:type="pct"/>
            <w:tcBorders>
              <w:top w:val="nil"/>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长30*宽20.5*高28.5（桶底：长23.2*宽14.5，投放口：长25*宽8.5）</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16322</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1020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7.10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855" w:hRule="atLeast"/>
        </w:trPr>
        <w:tc>
          <w:tcPr>
            <w:tcW w:w="347" w:type="pct"/>
            <w:tcBorders>
              <w:top w:val="nil"/>
              <w:left w:val="single" w:color="auto" w:sz="8" w:space="0"/>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※9</w:t>
            </w:r>
          </w:p>
        </w:tc>
        <w:tc>
          <w:tcPr>
            <w:tcW w:w="1077"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15升</w:t>
            </w:r>
          </w:p>
        </w:tc>
        <w:tc>
          <w:tcPr>
            <w:tcW w:w="1265" w:type="pct"/>
            <w:tcBorders>
              <w:top w:val="nil"/>
              <w:left w:val="nil"/>
              <w:bottom w:val="single" w:color="auto" w:sz="4"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长30.6*宽22*高30（桶底：23.5*15.8，投放口：24.5*10）</w:t>
            </w:r>
          </w:p>
        </w:tc>
        <w:tc>
          <w:tcPr>
            <w:tcW w:w="489" w:type="pct"/>
            <w:tcBorders>
              <w:top w:val="nil"/>
              <w:left w:val="nil"/>
              <w:bottom w:val="single" w:color="auto" w:sz="4"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27910</w:t>
            </w:r>
          </w:p>
        </w:tc>
        <w:tc>
          <w:tcPr>
            <w:tcW w:w="536"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2886</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8.20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w:t>
            </w:r>
          </w:p>
        </w:tc>
        <w:tc>
          <w:tcPr>
            <w:tcW w:w="107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25升</w:t>
            </w:r>
          </w:p>
        </w:tc>
        <w:tc>
          <w:tcPr>
            <w:tcW w:w="126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长33.8*宽23.8*高41.5</w:t>
            </w:r>
          </w:p>
        </w:tc>
        <w:tc>
          <w:tcPr>
            <w:tcW w:w="489"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4974</w:t>
            </w:r>
          </w:p>
        </w:tc>
        <w:tc>
          <w:tcPr>
            <w:tcW w:w="53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252</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13.00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※11</w:t>
            </w:r>
          </w:p>
        </w:tc>
        <w:tc>
          <w:tcPr>
            <w:tcW w:w="107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40升</w:t>
            </w:r>
          </w:p>
        </w:tc>
        <w:tc>
          <w:tcPr>
            <w:tcW w:w="126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长40*宽29*高45</w:t>
            </w:r>
          </w:p>
        </w:tc>
        <w:tc>
          <w:tcPr>
            <w:tcW w:w="489"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3186</w:t>
            </w:r>
          </w:p>
        </w:tc>
        <w:tc>
          <w:tcPr>
            <w:tcW w:w="53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18.00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5000" w:type="pct"/>
            <w:gridSpan w:val="8"/>
            <w:tcBorders>
              <w:top w:val="single" w:color="auto" w:sz="4" w:space="0"/>
              <w:left w:val="single" w:color="auto" w:sz="4" w:space="0"/>
              <w:bottom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rPr>
                <w:rFonts w:hint="default" w:ascii="宋体" w:hAnsi="宋体" w:cs="宋体"/>
                <w:color w:val="000000"/>
                <w:kern w:val="0"/>
                <w:szCs w:val="21"/>
              </w:rPr>
            </w:pPr>
            <w:r>
              <w:rPr>
                <w:rFonts w:hint="eastAsia" w:ascii="宋体" w:hAnsi="宋体"/>
                <w:szCs w:val="21"/>
              </w:rPr>
              <w:t>备注：参考数量仅作报价参考，实际数量以临床需求为准。</w:t>
            </w:r>
          </w:p>
        </w:tc>
      </w:tr>
      <w:tr>
        <w:tblPrEx>
          <w:tblCellMar>
            <w:top w:w="0" w:type="dxa"/>
            <w:left w:w="108" w:type="dxa"/>
            <w:bottom w:w="0" w:type="dxa"/>
            <w:right w:w="108" w:type="dxa"/>
          </w:tblCellMar>
        </w:tblPrEx>
        <w:trPr>
          <w:trHeight w:val="402" w:hRule="atLeast"/>
        </w:trPr>
        <w:tc>
          <w:tcPr>
            <w:tcW w:w="5000" w:type="pct"/>
            <w:gridSpan w:val="8"/>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360" w:lineRule="auto"/>
              <w:ind w:left="0" w:right="0"/>
              <w:rPr>
                <w:rFonts w:hint="default" w:ascii="宋体" w:hAnsi="宋体"/>
                <w:szCs w:val="21"/>
              </w:rPr>
            </w:pPr>
            <w:r>
              <w:rPr>
                <w:rFonts w:hint="eastAsia" w:ascii="宋体" w:hAnsi="宋体"/>
                <w:szCs w:val="21"/>
              </w:rPr>
              <w:t>利器盒技术要求（如有最新文件要求则按照最新文件要求）：</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（1）利器盒整体为硬质材料制成，封闭且防刺穿，以保证在正常情况下，利器盒内盛装物不撒漏，并且利器盒一旦被封口，在不破坏的情况下无法被再次打开。</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（2）利器盒不使用聚氯乙烯材料。（需提供有效的检测报告佐证）</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（3）利器盒整体颜色为淡黄</w:t>
            </w:r>
            <w:r>
              <w:rPr>
                <w:rFonts w:hint="default" w:ascii="宋体" w:hAnsi="宋体"/>
                <w:szCs w:val="21"/>
              </w:rPr>
              <w:t>色</w:t>
            </w:r>
            <w:r>
              <w:rPr>
                <w:rFonts w:hint="eastAsia" w:ascii="宋体" w:hAnsi="宋体"/>
                <w:szCs w:val="21"/>
              </w:rPr>
              <w:t>，颜色应符合GB/T 3181中Y06的要求。利器盒侧面明显处应根据工作规范印制警示标志，警告语为“警告!损伤性废物”。</w:t>
            </w:r>
          </w:p>
          <w:p>
            <w:pPr>
              <w:keepNext w:val="0"/>
              <w:keepLines w:val="0"/>
              <w:suppressLineNumbers w:val="0"/>
              <w:spacing w:before="0" w:beforeAutospacing="0" w:after="0" w:afterAutospacing="0" w:line="360" w:lineRule="auto"/>
              <w:ind w:left="0" w:right="0" w:firstLine="420" w:firstLineChars="200"/>
              <w:rPr>
                <w:rFonts w:hint="default" w:ascii="宋体" w:hAnsi="宋体"/>
                <w:color w:val="FF0000"/>
                <w:szCs w:val="21"/>
              </w:rPr>
            </w:pPr>
            <w:r>
              <w:rPr>
                <w:rFonts w:hint="eastAsia" w:ascii="宋体" w:hAnsi="宋体"/>
                <w:szCs w:val="21"/>
              </w:rPr>
              <w:t>（4）满盛装量的利器盒从1.2m高处自由跌落至水泥地面，连续3次，不会出现破裂、被刺穿等情况。</w:t>
            </w:r>
          </w:p>
        </w:tc>
      </w:tr>
    </w:tbl>
    <w:p>
      <w:pPr>
        <w:adjustRightInd w:val="0"/>
        <w:snapToGrid w:val="0"/>
        <w:spacing w:line="360" w:lineRule="auto"/>
        <w:ind w:firstLine="480" w:firstLineChars="200"/>
        <w:rPr>
          <w:rFonts w:ascii="宋体" w:hAnsi="宋体" w:cs="仿宋"/>
          <w:sz w:val="24"/>
        </w:rPr>
      </w:pPr>
      <w:r>
        <w:rPr>
          <w:rFonts w:hint="eastAsia" w:ascii="宋体" w:hAnsi="宋体" w:cs="仿宋"/>
          <w:sz w:val="24"/>
          <w:lang w:val="en-US" w:eastAsia="zh-CN"/>
        </w:rPr>
        <w:t>八</w:t>
      </w:r>
      <w:r>
        <w:rPr>
          <w:rFonts w:hint="eastAsia" w:ascii="宋体" w:hAnsi="宋体" w:cs="仿宋"/>
          <w:sz w:val="24"/>
        </w:rPr>
        <w:t>、双方权利和义务</w:t>
      </w:r>
    </w:p>
    <w:p>
      <w:pPr>
        <w:pStyle w:val="107"/>
        <w:adjustRightInd w:val="0"/>
        <w:snapToGrid w:val="0"/>
        <w:spacing w:line="360" w:lineRule="auto"/>
        <w:ind w:firstLine="480"/>
        <w:rPr>
          <w:rFonts w:ascii="宋体" w:hAnsi="宋体" w:cs="仿宋"/>
          <w:sz w:val="24"/>
          <w:szCs w:val="24"/>
        </w:rPr>
      </w:pPr>
      <w:r>
        <w:rPr>
          <w:rFonts w:hint="eastAsia" w:ascii="宋体" w:hAnsi="宋体" w:cs="仿宋"/>
          <w:sz w:val="24"/>
          <w:szCs w:val="24"/>
        </w:rPr>
        <w:t>（一）</w:t>
      </w:r>
      <w:r>
        <w:rPr>
          <w:rFonts w:ascii="宋体" w:hAnsi="宋体" w:cs="仿宋"/>
          <w:sz w:val="24"/>
          <w:szCs w:val="24"/>
        </w:rPr>
        <w:t>采购人</w:t>
      </w:r>
      <w:r>
        <w:rPr>
          <w:rFonts w:hint="eastAsia" w:ascii="宋体" w:hAnsi="宋体" w:cs="仿宋"/>
          <w:sz w:val="24"/>
          <w:szCs w:val="24"/>
        </w:rPr>
        <w:t>权利及义务</w:t>
      </w:r>
    </w:p>
    <w:p>
      <w:pPr>
        <w:pStyle w:val="107"/>
        <w:numPr>
          <w:ilvl w:val="0"/>
          <w:numId w:val="4"/>
        </w:numPr>
        <w:adjustRightInd w:val="0"/>
        <w:snapToGrid w:val="0"/>
        <w:spacing w:line="360" w:lineRule="auto"/>
        <w:ind w:left="0" w:firstLine="480"/>
        <w:rPr>
          <w:rFonts w:ascii="宋体" w:hAnsi="宋体" w:cs="仿宋"/>
          <w:sz w:val="24"/>
          <w:szCs w:val="24"/>
        </w:rPr>
      </w:pPr>
      <w:r>
        <w:rPr>
          <w:rFonts w:ascii="宋体" w:hAnsi="宋体" w:cs="仿宋"/>
          <w:sz w:val="24"/>
          <w:szCs w:val="24"/>
        </w:rPr>
        <w:t>采购人</w:t>
      </w:r>
      <w:r>
        <w:rPr>
          <w:rFonts w:hint="eastAsia" w:ascii="宋体" w:hAnsi="宋体" w:cs="仿宋"/>
          <w:sz w:val="24"/>
          <w:szCs w:val="24"/>
        </w:rPr>
        <w:t>协助</w:t>
      </w:r>
      <w:r>
        <w:rPr>
          <w:rFonts w:ascii="宋体" w:hAnsi="宋体" w:cs="仿宋"/>
          <w:sz w:val="24"/>
          <w:szCs w:val="24"/>
        </w:rPr>
        <w:t>成交供应</w:t>
      </w:r>
      <w:r>
        <w:rPr>
          <w:rFonts w:hint="eastAsia" w:ascii="宋体" w:hAnsi="宋体" w:cs="仿宋"/>
          <w:sz w:val="24"/>
          <w:szCs w:val="24"/>
        </w:rPr>
        <w:t>商开展日常工作，</w:t>
      </w:r>
      <w:r>
        <w:rPr>
          <w:rFonts w:ascii="宋体" w:hAnsi="宋体"/>
          <w:sz w:val="24"/>
          <w:szCs w:val="24"/>
        </w:rPr>
        <w:t>协助</w:t>
      </w:r>
      <w:r>
        <w:rPr>
          <w:rFonts w:ascii="宋体" w:hAnsi="宋体" w:cs="仿宋"/>
          <w:sz w:val="24"/>
          <w:szCs w:val="24"/>
        </w:rPr>
        <w:t>成交</w:t>
      </w:r>
      <w:r>
        <w:rPr>
          <w:rFonts w:ascii="宋体" w:hAnsi="宋体"/>
          <w:sz w:val="24"/>
          <w:szCs w:val="24"/>
        </w:rPr>
        <w:t>供应商熟悉医院环境、管理规定</w:t>
      </w:r>
      <w:r>
        <w:rPr>
          <w:rFonts w:hint="eastAsia" w:ascii="宋体" w:hAnsi="宋体"/>
          <w:sz w:val="24"/>
          <w:szCs w:val="24"/>
        </w:rPr>
        <w:t>。</w:t>
      </w:r>
    </w:p>
    <w:p>
      <w:pPr>
        <w:pStyle w:val="107"/>
        <w:numPr>
          <w:ilvl w:val="0"/>
          <w:numId w:val="4"/>
        </w:numPr>
        <w:adjustRightInd w:val="0"/>
        <w:snapToGrid w:val="0"/>
        <w:spacing w:line="360" w:lineRule="auto"/>
        <w:ind w:left="0" w:firstLine="480"/>
        <w:rPr>
          <w:rFonts w:ascii="宋体" w:hAnsi="宋体" w:cs="仿宋"/>
          <w:sz w:val="24"/>
          <w:szCs w:val="24"/>
        </w:rPr>
      </w:pPr>
      <w:r>
        <w:rPr>
          <w:rFonts w:ascii="宋体" w:hAnsi="宋体" w:cs="仿宋"/>
          <w:sz w:val="24"/>
          <w:szCs w:val="24"/>
        </w:rPr>
        <w:t>采购人</w:t>
      </w:r>
      <w:r>
        <w:rPr>
          <w:rFonts w:hint="eastAsia" w:ascii="宋体" w:hAnsi="宋体" w:cs="仿宋"/>
          <w:sz w:val="24"/>
          <w:szCs w:val="24"/>
        </w:rPr>
        <w:t>协助</w:t>
      </w:r>
      <w:r>
        <w:rPr>
          <w:rFonts w:ascii="宋体" w:hAnsi="宋体" w:cs="仿宋"/>
          <w:sz w:val="24"/>
          <w:szCs w:val="24"/>
        </w:rPr>
        <w:t>成交供应</w:t>
      </w:r>
      <w:r>
        <w:rPr>
          <w:rFonts w:hint="eastAsia" w:ascii="宋体" w:hAnsi="宋体" w:cs="仿宋"/>
          <w:sz w:val="24"/>
          <w:szCs w:val="24"/>
        </w:rPr>
        <w:t>商将可回收物堆放在院内指定暂存点。</w:t>
      </w:r>
    </w:p>
    <w:p>
      <w:pPr>
        <w:pStyle w:val="107"/>
        <w:numPr>
          <w:ilvl w:val="0"/>
          <w:numId w:val="4"/>
        </w:numPr>
        <w:adjustRightInd w:val="0"/>
        <w:snapToGrid w:val="0"/>
        <w:spacing w:line="360" w:lineRule="auto"/>
        <w:ind w:left="0" w:firstLine="480"/>
        <w:rPr>
          <w:rFonts w:ascii="宋体" w:hAnsi="宋体" w:cs="仿宋"/>
          <w:sz w:val="24"/>
          <w:szCs w:val="24"/>
        </w:rPr>
      </w:pPr>
      <w:r>
        <w:rPr>
          <w:rFonts w:ascii="宋体" w:hAnsi="宋体" w:cs="仿宋"/>
          <w:sz w:val="24"/>
          <w:szCs w:val="24"/>
        </w:rPr>
        <w:t>采购人</w:t>
      </w:r>
      <w:r>
        <w:rPr>
          <w:rFonts w:hint="eastAsia" w:ascii="宋体" w:hAnsi="宋体" w:cs="仿宋"/>
          <w:sz w:val="24"/>
          <w:szCs w:val="24"/>
        </w:rPr>
        <w:t>有权对</w:t>
      </w:r>
      <w:r>
        <w:rPr>
          <w:rFonts w:ascii="宋体" w:hAnsi="宋体" w:cs="仿宋"/>
          <w:sz w:val="24"/>
          <w:szCs w:val="24"/>
        </w:rPr>
        <w:t>成交供应</w:t>
      </w:r>
      <w:r>
        <w:rPr>
          <w:rFonts w:hint="eastAsia" w:ascii="宋体" w:hAnsi="宋体" w:cs="仿宋"/>
          <w:sz w:val="24"/>
          <w:szCs w:val="24"/>
        </w:rPr>
        <w:t>商的可回收物再生过程及管理</w:t>
      </w:r>
      <w:r>
        <w:rPr>
          <w:rFonts w:ascii="宋体" w:hAnsi="宋体" w:cs="仿宋"/>
          <w:sz w:val="24"/>
          <w:szCs w:val="24"/>
        </w:rPr>
        <w:t>进行</w:t>
      </w:r>
      <w:r>
        <w:rPr>
          <w:rFonts w:hint="eastAsia" w:ascii="宋体" w:hAnsi="宋体" w:cs="仿宋"/>
          <w:sz w:val="24"/>
          <w:szCs w:val="24"/>
        </w:rPr>
        <w:t>监督。</w:t>
      </w:r>
    </w:p>
    <w:p>
      <w:pPr>
        <w:pStyle w:val="107"/>
        <w:numPr>
          <w:ilvl w:val="0"/>
          <w:numId w:val="4"/>
        </w:numPr>
        <w:adjustRightInd w:val="0"/>
        <w:snapToGrid w:val="0"/>
        <w:spacing w:line="360" w:lineRule="auto"/>
        <w:ind w:left="0" w:firstLine="480"/>
        <w:rPr>
          <w:rFonts w:ascii="宋体" w:hAnsi="宋体" w:cs="仿宋"/>
          <w:sz w:val="24"/>
          <w:szCs w:val="24"/>
        </w:rPr>
      </w:pPr>
      <w:bookmarkStart w:id="13" w:name="OLE_LINK36"/>
      <w:bookmarkStart w:id="14" w:name="OLE_LINK37"/>
      <w:r>
        <w:rPr>
          <w:rFonts w:hint="eastAsia" w:ascii="宋体" w:hAnsi="宋体" w:eastAsia="宋体" w:cs="仿宋"/>
          <w:kern w:val="2"/>
          <w:sz w:val="24"/>
          <w:szCs w:val="24"/>
          <w:lang w:val="en-US" w:eastAsia="zh-CN" w:bidi="ar"/>
        </w:rPr>
        <w:t>★</w:t>
      </w:r>
      <w:bookmarkEnd w:id="13"/>
      <w:bookmarkEnd w:id="14"/>
      <w:r>
        <w:rPr>
          <w:rFonts w:hint="eastAsia" w:ascii="宋体" w:hAnsi="宋体" w:eastAsia="宋体" w:cs="仿宋"/>
          <w:kern w:val="2"/>
          <w:sz w:val="24"/>
          <w:szCs w:val="24"/>
          <w:lang w:val="en-US" w:eastAsia="zh-CN" w:bidi="ar"/>
        </w:rPr>
        <w:t>若成交供应商出现 2 次以上不能按合同要求开展可回收物收运工作，采购人有权终止合同而无需承担任何违约责任，并有权追究成交供应商的违约责任。</w:t>
      </w:r>
    </w:p>
    <w:p>
      <w:pPr>
        <w:pStyle w:val="107"/>
        <w:numPr>
          <w:ilvl w:val="0"/>
          <w:numId w:val="4"/>
        </w:numPr>
        <w:adjustRightInd w:val="0"/>
        <w:snapToGrid w:val="0"/>
        <w:spacing w:line="360" w:lineRule="auto"/>
        <w:ind w:left="0" w:firstLine="480"/>
        <w:rPr>
          <w:rFonts w:ascii="宋体" w:hAnsi="宋体" w:cs="仿宋"/>
          <w:sz w:val="24"/>
          <w:szCs w:val="24"/>
        </w:rPr>
      </w:pPr>
      <w:r>
        <w:rPr>
          <w:rFonts w:hint="eastAsia" w:ascii="宋体" w:hAnsi="宋体" w:cs="仿宋"/>
          <w:sz w:val="24"/>
          <w:szCs w:val="24"/>
        </w:rPr>
        <w:t>采购人有权要求</w:t>
      </w:r>
      <w:r>
        <w:rPr>
          <w:rFonts w:ascii="宋体" w:hAnsi="宋体" w:cs="仿宋"/>
          <w:sz w:val="24"/>
          <w:szCs w:val="24"/>
        </w:rPr>
        <w:t>成交</w:t>
      </w:r>
      <w:r>
        <w:rPr>
          <w:rFonts w:hint="eastAsia" w:ascii="宋体" w:hAnsi="宋体" w:cs="仿宋"/>
          <w:sz w:val="24"/>
          <w:szCs w:val="24"/>
        </w:rPr>
        <w:t>供应商提供塑料利器盒的相关检测报告，有权检查</w:t>
      </w:r>
      <w:r>
        <w:rPr>
          <w:rFonts w:ascii="宋体" w:hAnsi="宋体" w:cs="仿宋"/>
          <w:sz w:val="24"/>
          <w:szCs w:val="24"/>
        </w:rPr>
        <w:t>成交</w:t>
      </w:r>
      <w:r>
        <w:rPr>
          <w:rFonts w:hint="eastAsia" w:ascii="宋体" w:hAnsi="宋体" w:cs="仿宋"/>
          <w:sz w:val="24"/>
          <w:szCs w:val="24"/>
        </w:rPr>
        <w:t>供应商提供的塑料利器盒的质量和性能是否符合相关文件要求。</w:t>
      </w:r>
    </w:p>
    <w:p>
      <w:pPr>
        <w:pStyle w:val="107"/>
        <w:numPr>
          <w:ilvl w:val="0"/>
          <w:numId w:val="4"/>
        </w:numPr>
        <w:adjustRightInd w:val="0"/>
        <w:snapToGrid w:val="0"/>
        <w:spacing w:line="360" w:lineRule="auto"/>
        <w:ind w:left="0" w:firstLine="480"/>
        <w:rPr>
          <w:rFonts w:ascii="宋体" w:hAnsi="宋体" w:cs="仿宋"/>
          <w:sz w:val="24"/>
          <w:szCs w:val="24"/>
        </w:rPr>
      </w:pPr>
      <w:bookmarkStart w:id="15" w:name="OLE_LINK38"/>
      <w:bookmarkStart w:id="16" w:name="OLE_LINK39"/>
      <w:r>
        <w:rPr>
          <w:rFonts w:hint="eastAsia" w:ascii="宋体" w:hAnsi="宋体" w:eastAsia="宋体" w:cs="仿宋"/>
          <w:kern w:val="2"/>
          <w:sz w:val="24"/>
          <w:szCs w:val="24"/>
          <w:lang w:val="en-US" w:eastAsia="zh-CN" w:bidi="ar"/>
        </w:rPr>
        <w:t>★</w:t>
      </w:r>
      <w:bookmarkEnd w:id="15"/>
      <w:bookmarkEnd w:id="16"/>
      <w:r>
        <w:rPr>
          <w:rFonts w:hint="eastAsia" w:ascii="Times New Roman" w:hAnsi="Times New Roman" w:eastAsia="宋体" w:cs="Times New Roman"/>
          <w:kern w:val="2"/>
          <w:sz w:val="24"/>
          <w:szCs w:val="24"/>
          <w:lang w:val="en-US" w:eastAsia="zh-CN" w:bidi="ar"/>
        </w:rPr>
        <w:t>若采购人在验收货物时发现成交供应商的货物存在假冒伪劣或次品情况或不合格商品，乙方须在</w:t>
      </w:r>
      <w:r>
        <w:rPr>
          <w:rFonts w:hint="default" w:ascii="Times New Roman" w:hAnsi="Times New Roman" w:eastAsia="宋体" w:cs="Times New Roman"/>
          <w:kern w:val="2"/>
          <w:sz w:val="24"/>
          <w:szCs w:val="24"/>
          <w:lang w:val="en-US" w:eastAsia="zh-CN" w:bidi="ar"/>
        </w:rPr>
        <w:t>2</w:t>
      </w:r>
      <w:r>
        <w:rPr>
          <w:rFonts w:hint="eastAsia" w:ascii="Times New Roman" w:hAnsi="Times New Roman" w:eastAsia="宋体" w:cs="Times New Roman"/>
          <w:kern w:val="2"/>
          <w:sz w:val="24"/>
          <w:szCs w:val="24"/>
          <w:lang w:val="en-US" w:eastAsia="zh-CN" w:bidi="ar"/>
        </w:rPr>
        <w:t>个工作日内更换货物。若连续</w:t>
      </w:r>
      <w:r>
        <w:rPr>
          <w:rFonts w:hint="default" w:ascii="Times New Roman" w:hAnsi="Times New Roman" w:eastAsia="宋体" w:cs="Times New Roman"/>
          <w:kern w:val="2"/>
          <w:sz w:val="24"/>
          <w:szCs w:val="24"/>
          <w:lang w:val="en-US" w:eastAsia="zh-CN" w:bidi="ar"/>
        </w:rPr>
        <w:t>3</w:t>
      </w:r>
      <w:r>
        <w:rPr>
          <w:rFonts w:hint="eastAsia" w:ascii="Times New Roman" w:hAnsi="Times New Roman" w:eastAsia="宋体" w:cs="Times New Roman"/>
          <w:kern w:val="2"/>
          <w:sz w:val="24"/>
          <w:szCs w:val="24"/>
          <w:lang w:val="en-US" w:eastAsia="zh-CN" w:bidi="ar"/>
        </w:rPr>
        <w:t>次验收货物时发现有假冒伪劣或次品情况或不合格商品，不论数量多少，采购人有权终止合同。</w:t>
      </w:r>
    </w:p>
    <w:p>
      <w:pPr>
        <w:pStyle w:val="107"/>
        <w:numPr>
          <w:ilvl w:val="0"/>
          <w:numId w:val="4"/>
        </w:numPr>
        <w:adjustRightInd w:val="0"/>
        <w:snapToGrid w:val="0"/>
        <w:spacing w:line="360" w:lineRule="auto"/>
        <w:ind w:left="0" w:firstLine="480"/>
        <w:rPr>
          <w:rFonts w:ascii="宋体" w:hAnsi="宋体" w:cs="仿宋"/>
          <w:sz w:val="24"/>
          <w:szCs w:val="24"/>
        </w:rPr>
      </w:pPr>
      <w:r>
        <w:rPr>
          <w:rFonts w:hint="eastAsia" w:ascii="宋体" w:hAnsi="宋体" w:eastAsia="宋体" w:cs="仿宋"/>
          <w:kern w:val="2"/>
          <w:sz w:val="24"/>
          <w:szCs w:val="24"/>
          <w:lang w:val="en-US" w:eastAsia="zh-CN" w:bidi="ar"/>
        </w:rPr>
        <w:t>★</w:t>
      </w:r>
      <w:r>
        <w:rPr>
          <w:rFonts w:hint="eastAsia" w:ascii="Times New Roman" w:hAnsi="Times New Roman" w:eastAsia="宋体" w:cs="Times New Roman"/>
          <w:kern w:val="2"/>
          <w:sz w:val="24"/>
          <w:szCs w:val="24"/>
          <w:lang w:val="en-US" w:eastAsia="zh-CN" w:bidi="ar"/>
        </w:rPr>
        <w:t>若成交供应商连续</w:t>
      </w:r>
      <w:r>
        <w:rPr>
          <w:rFonts w:hint="default" w:ascii="Times New Roman" w:hAnsi="Times New Roman" w:eastAsia="宋体" w:cs="Times New Roman"/>
          <w:kern w:val="2"/>
          <w:sz w:val="24"/>
          <w:szCs w:val="24"/>
          <w:lang w:val="en-US" w:eastAsia="zh-CN" w:bidi="ar"/>
        </w:rPr>
        <w:t>3</w:t>
      </w:r>
      <w:r>
        <w:rPr>
          <w:rFonts w:hint="eastAsia" w:ascii="Times New Roman" w:hAnsi="Times New Roman" w:eastAsia="宋体" w:cs="Times New Roman"/>
          <w:kern w:val="2"/>
          <w:sz w:val="24"/>
          <w:szCs w:val="24"/>
          <w:lang w:val="en-US" w:eastAsia="zh-CN" w:bidi="ar"/>
        </w:rPr>
        <w:t>次未按采购人需求提供货物，采购人有权终止合同。</w:t>
      </w:r>
    </w:p>
    <w:p>
      <w:pPr>
        <w:pStyle w:val="107"/>
        <w:numPr>
          <w:ilvl w:val="0"/>
          <w:numId w:val="4"/>
        </w:numPr>
        <w:adjustRightInd w:val="0"/>
        <w:snapToGrid w:val="0"/>
        <w:spacing w:line="360" w:lineRule="auto"/>
        <w:ind w:left="0" w:firstLine="480" w:firstLineChars="200"/>
        <w:rPr>
          <w:rFonts w:ascii="宋体" w:hAnsi="宋体" w:cs="仿宋"/>
          <w:sz w:val="24"/>
          <w:szCs w:val="24"/>
        </w:rPr>
      </w:pPr>
      <w:r>
        <w:rPr>
          <w:rFonts w:hint="eastAsia" w:ascii="宋体" w:hAnsi="宋体" w:cs="仿宋"/>
          <w:sz w:val="24"/>
          <w:szCs w:val="24"/>
        </w:rPr>
        <w:t>采购人有权对成交供应商提供的服务进行监督评价。采购人每季度按照《</w:t>
      </w:r>
      <w:bookmarkStart w:id="17" w:name="OLE_LINK9"/>
      <w:r>
        <w:rPr>
          <w:rFonts w:hint="eastAsia" w:ascii="宋体" w:hAnsi="宋体" w:cs="仿宋"/>
          <w:sz w:val="24"/>
          <w:szCs w:val="24"/>
        </w:rPr>
        <w:t>广州医科大学附属番禺中心医院医疗集团可回收物服务季度考核评分表</w:t>
      </w:r>
      <w:bookmarkEnd w:id="17"/>
      <w:r>
        <w:rPr>
          <w:rFonts w:hint="eastAsia" w:ascii="宋体" w:hAnsi="宋体" w:cs="仿宋"/>
          <w:sz w:val="24"/>
          <w:szCs w:val="24"/>
        </w:rPr>
        <w:t>》（详见附件）对成交供应商在医疗集团的回收服务工作共同进行季度考核评分，</w:t>
      </w:r>
      <w:r>
        <w:rPr>
          <w:rFonts w:hint="eastAsia" w:ascii="宋体" w:hAnsi="宋体"/>
          <w:bCs/>
          <w:sz w:val="24"/>
          <w:szCs w:val="24"/>
        </w:rPr>
        <w:t>总分1</w:t>
      </w:r>
      <w:r>
        <w:rPr>
          <w:rFonts w:ascii="宋体" w:hAnsi="宋体"/>
          <w:bCs/>
          <w:sz w:val="24"/>
          <w:szCs w:val="24"/>
        </w:rPr>
        <w:t>00</w:t>
      </w:r>
      <w:r>
        <w:rPr>
          <w:rFonts w:hint="eastAsia" w:ascii="宋体" w:hAnsi="宋体"/>
          <w:bCs/>
          <w:sz w:val="24"/>
          <w:szCs w:val="24"/>
        </w:rPr>
        <w:t>分，9</w:t>
      </w:r>
      <w:r>
        <w:rPr>
          <w:rFonts w:ascii="宋体" w:hAnsi="宋体"/>
          <w:bCs/>
          <w:sz w:val="24"/>
          <w:szCs w:val="24"/>
        </w:rPr>
        <w:t>0</w:t>
      </w:r>
      <w:r>
        <w:rPr>
          <w:rFonts w:hint="eastAsia" w:ascii="宋体" w:hAnsi="宋体"/>
          <w:bCs/>
          <w:sz w:val="24"/>
          <w:szCs w:val="24"/>
        </w:rPr>
        <w:t>分及以上为合格</w:t>
      </w:r>
      <w:r>
        <w:rPr>
          <w:rFonts w:hint="eastAsia" w:ascii="宋体" w:hAnsi="宋体" w:cs="仿宋"/>
          <w:sz w:val="24"/>
          <w:szCs w:val="24"/>
        </w:rPr>
        <w:t>。</w:t>
      </w:r>
    </w:p>
    <w:p>
      <w:pPr>
        <w:pStyle w:val="107"/>
        <w:adjustRightInd w:val="0"/>
        <w:snapToGrid w:val="0"/>
        <w:spacing w:line="360" w:lineRule="auto"/>
        <w:ind w:firstLine="480"/>
        <w:rPr>
          <w:rFonts w:ascii="宋体" w:hAnsi="宋体" w:cs="仿宋"/>
          <w:sz w:val="24"/>
          <w:szCs w:val="24"/>
        </w:rPr>
      </w:pPr>
      <w:r>
        <w:rPr>
          <w:rFonts w:hint="eastAsia" w:ascii="宋体" w:hAnsi="宋体" w:cs="仿宋"/>
          <w:sz w:val="24"/>
          <w:szCs w:val="24"/>
        </w:rPr>
        <w:t>（二）</w:t>
      </w:r>
      <w:r>
        <w:rPr>
          <w:rFonts w:ascii="宋体" w:hAnsi="宋体" w:cs="仿宋"/>
          <w:sz w:val="24"/>
          <w:szCs w:val="24"/>
        </w:rPr>
        <w:t>成交供应</w:t>
      </w:r>
      <w:r>
        <w:rPr>
          <w:rFonts w:hint="eastAsia" w:ascii="宋体" w:hAnsi="宋体" w:cs="仿宋"/>
          <w:sz w:val="24"/>
          <w:szCs w:val="24"/>
        </w:rPr>
        <w:t>商权利及义务</w:t>
      </w:r>
    </w:p>
    <w:p>
      <w:pPr>
        <w:numPr>
          <w:ilvl w:val="0"/>
          <w:numId w:val="5"/>
        </w:numPr>
        <w:adjustRightInd w:val="0"/>
        <w:snapToGrid w:val="0"/>
        <w:spacing w:line="360" w:lineRule="auto"/>
        <w:ind w:left="0" w:firstLine="480" w:firstLineChars="200"/>
        <w:rPr>
          <w:rFonts w:ascii="宋体" w:hAnsi="宋体" w:cs="仿宋"/>
          <w:sz w:val="24"/>
        </w:rPr>
      </w:pPr>
      <w:r>
        <w:rPr>
          <w:rFonts w:hint="eastAsia" w:ascii="宋体" w:hAnsi="宋体" w:cs="仿宋"/>
          <w:sz w:val="24"/>
        </w:rPr>
        <w:t>★对于回收未被污染的使用后的输液袋（瓶）、废塑料AB胶桶后的再生处理，再生产产品不得用于原用途，以不危害人体健康为原则，禁止用于食品和医疗卫生用品行业。再生产品的用途限于：</w:t>
      </w:r>
      <w:r>
        <w:rPr>
          <w:rFonts w:ascii="宋体" w:hAnsi="宋体" w:cs="仿宋"/>
          <w:sz w:val="24"/>
        </w:rPr>
        <w:t>医疗废物</w:t>
      </w:r>
      <w:r>
        <w:rPr>
          <w:rFonts w:hint="eastAsia" w:ascii="宋体" w:hAnsi="宋体" w:cs="仿宋"/>
          <w:sz w:val="24"/>
        </w:rPr>
        <w:t>包装袋、周转箱；汽车工业零配件；塑料地毯、地胶；工业用具包装盒</w:t>
      </w:r>
      <w:r>
        <w:rPr>
          <w:rFonts w:ascii="宋体" w:hAnsi="宋体" w:cs="仿宋"/>
          <w:sz w:val="24"/>
        </w:rPr>
        <w:t>等符合相关规范的产品及用途</w:t>
      </w:r>
      <w:r>
        <w:rPr>
          <w:rFonts w:hint="eastAsia" w:ascii="宋体" w:hAnsi="宋体" w:cs="仿宋"/>
          <w:sz w:val="24"/>
        </w:rPr>
        <w:t>。如</w:t>
      </w:r>
      <w:r>
        <w:rPr>
          <w:rFonts w:ascii="宋体" w:hAnsi="宋体" w:cs="仿宋"/>
          <w:sz w:val="24"/>
        </w:rPr>
        <w:t>成交供应</w:t>
      </w:r>
      <w:r>
        <w:rPr>
          <w:rFonts w:hint="eastAsia" w:ascii="宋体" w:hAnsi="宋体" w:cs="仿宋"/>
          <w:sz w:val="24"/>
        </w:rPr>
        <w:t>商存在违约情况或违规不按要求生产再生产品，采购人有权终止合同而无需承担任何违约责任，并有权追究</w:t>
      </w:r>
      <w:r>
        <w:rPr>
          <w:rFonts w:ascii="宋体" w:hAnsi="宋体" w:cs="仿宋"/>
          <w:sz w:val="24"/>
        </w:rPr>
        <w:t>成交</w:t>
      </w:r>
      <w:r>
        <w:rPr>
          <w:rFonts w:hint="eastAsia" w:ascii="宋体" w:hAnsi="宋体" w:cs="仿宋"/>
          <w:sz w:val="24"/>
        </w:rPr>
        <w:t>供应商的违约责任。</w:t>
      </w:r>
    </w:p>
    <w:p>
      <w:pPr>
        <w:numPr>
          <w:ilvl w:val="0"/>
          <w:numId w:val="5"/>
        </w:numPr>
        <w:adjustRightInd w:val="0"/>
        <w:snapToGrid w:val="0"/>
        <w:spacing w:line="360" w:lineRule="auto"/>
        <w:ind w:left="0" w:firstLine="480" w:firstLineChars="200"/>
        <w:rPr>
          <w:rFonts w:ascii="宋体" w:hAnsi="宋体" w:cs="仿宋"/>
          <w:sz w:val="24"/>
        </w:rPr>
      </w:pPr>
      <w:r>
        <w:rPr>
          <w:rFonts w:hint="eastAsia" w:ascii="宋体" w:hAnsi="宋体" w:cs="仿宋"/>
          <w:sz w:val="24"/>
        </w:rPr>
        <w:t>★废药纸盒（经</w:t>
      </w:r>
      <w:r>
        <w:rPr>
          <w:rFonts w:ascii="宋体" w:hAnsi="宋体" w:cs="仿宋"/>
          <w:sz w:val="24"/>
        </w:rPr>
        <w:t>成交供应</w:t>
      </w:r>
      <w:r>
        <w:rPr>
          <w:rFonts w:hint="eastAsia" w:ascii="宋体" w:hAnsi="宋体" w:cs="仿宋"/>
          <w:sz w:val="24"/>
        </w:rPr>
        <w:t>商进行毁形后）、废药品说明书等销售给有资质的再生资源利用机构，保留流向单据，进行登记，登记内容应当包括可回收物的来源、种类、重量或者数量、交接时间、处置方法、最终去向以及经办人签名等项目。登记资料至少保存3年。决不能销售给无资质的机构或个人，杜绝产生社会危害。</w:t>
      </w:r>
      <w:r>
        <w:rPr>
          <w:rFonts w:ascii="宋体" w:hAnsi="宋体" w:cs="仿宋"/>
          <w:sz w:val="24"/>
        </w:rPr>
        <w:t>成交供应</w:t>
      </w:r>
      <w:r>
        <w:rPr>
          <w:rFonts w:hint="eastAsia" w:ascii="宋体" w:hAnsi="宋体" w:cs="仿宋"/>
          <w:sz w:val="24"/>
        </w:rPr>
        <w:t>商保证可回收物品去向可追溯，如果违约所产生的法律后果，由</w:t>
      </w:r>
      <w:r>
        <w:rPr>
          <w:rFonts w:ascii="宋体" w:hAnsi="宋体" w:cs="仿宋"/>
          <w:sz w:val="24"/>
        </w:rPr>
        <w:t>成交供应</w:t>
      </w:r>
      <w:r>
        <w:rPr>
          <w:rFonts w:hint="eastAsia" w:ascii="宋体" w:hAnsi="宋体" w:cs="仿宋"/>
          <w:sz w:val="24"/>
        </w:rPr>
        <w:t>商承担，与</w:t>
      </w:r>
      <w:r>
        <w:rPr>
          <w:rFonts w:ascii="宋体" w:hAnsi="宋体" w:cs="仿宋"/>
          <w:sz w:val="24"/>
        </w:rPr>
        <w:t>采购人</w:t>
      </w:r>
      <w:r>
        <w:rPr>
          <w:rFonts w:hint="eastAsia" w:ascii="宋体" w:hAnsi="宋体" w:cs="仿宋"/>
          <w:sz w:val="24"/>
        </w:rPr>
        <w:t>无关。</w:t>
      </w:r>
    </w:p>
    <w:p>
      <w:pPr>
        <w:numPr>
          <w:ilvl w:val="0"/>
          <w:numId w:val="5"/>
        </w:numPr>
        <w:adjustRightInd w:val="0"/>
        <w:snapToGrid w:val="0"/>
        <w:spacing w:line="360" w:lineRule="auto"/>
        <w:ind w:left="0" w:firstLine="480" w:firstLineChars="200"/>
        <w:rPr>
          <w:rFonts w:ascii="宋体" w:hAnsi="宋体" w:cs="仿宋"/>
          <w:sz w:val="24"/>
        </w:rPr>
      </w:pPr>
      <w:bookmarkStart w:id="18" w:name="OLE_LINK54"/>
      <w:r>
        <w:rPr>
          <w:rFonts w:hint="eastAsia" w:ascii="宋体" w:hAnsi="宋体" w:eastAsia="宋体" w:cs="Times New Roman"/>
          <w:kern w:val="2"/>
          <w:sz w:val="24"/>
          <w:szCs w:val="24"/>
          <w:lang w:val="en-US" w:eastAsia="zh-CN" w:bidi="ar"/>
        </w:rPr>
        <w:t>成交供应商保证不回收采购人的医疗废物（被体液、血液、分泌物和排泄物污染的注射器、针头、棉签、输液管、血袋、尿袋、医疗废物包装袋等）和不可回收物。</w:t>
      </w:r>
      <w:bookmarkEnd w:id="18"/>
    </w:p>
    <w:p>
      <w:pPr>
        <w:numPr>
          <w:ilvl w:val="0"/>
          <w:numId w:val="5"/>
        </w:numPr>
        <w:adjustRightInd w:val="0"/>
        <w:snapToGrid w:val="0"/>
        <w:spacing w:line="360" w:lineRule="auto"/>
        <w:ind w:left="0" w:firstLine="480" w:firstLineChars="200"/>
        <w:rPr>
          <w:rFonts w:ascii="宋体" w:hAnsi="宋体" w:cs="仿宋"/>
          <w:sz w:val="24"/>
        </w:rPr>
      </w:pPr>
      <w:bookmarkStart w:id="19" w:name="OLE_LINK56"/>
      <w:bookmarkStart w:id="20" w:name="OLE_LINK57"/>
      <w:r>
        <w:rPr>
          <w:rFonts w:hint="eastAsia" w:ascii="宋体" w:hAnsi="宋体" w:eastAsia="宋体" w:cs="Times New Roman"/>
          <w:kern w:val="2"/>
          <w:sz w:val="24"/>
          <w:szCs w:val="24"/>
          <w:lang w:val="en-US" w:eastAsia="zh-CN" w:bidi="ar"/>
        </w:rPr>
        <w:t>废药纸盒、尿盆尿壶等物品须经成交供应商在采购人现场毁形后再运走处理。</w:t>
      </w:r>
      <w:bookmarkEnd w:id="19"/>
      <w:bookmarkEnd w:id="20"/>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成交供应</w:t>
      </w:r>
      <w:r>
        <w:rPr>
          <w:rFonts w:hint="eastAsia" w:ascii="宋体" w:hAnsi="宋体" w:cs="仿宋"/>
          <w:sz w:val="24"/>
        </w:rPr>
        <w:t>商</w:t>
      </w:r>
      <w:r>
        <w:rPr>
          <w:rFonts w:ascii="宋体" w:hAnsi="宋体" w:cs="仿宋"/>
          <w:sz w:val="24"/>
        </w:rPr>
        <w:t>必须按</w:t>
      </w:r>
      <w:r>
        <w:rPr>
          <w:rFonts w:hint="eastAsia" w:ascii="宋体" w:hAnsi="宋体" w:cs="仿宋"/>
          <w:sz w:val="24"/>
        </w:rPr>
        <w:t>时</w:t>
      </w:r>
      <w:r>
        <w:rPr>
          <w:rFonts w:ascii="宋体" w:hAnsi="宋体" w:cs="仿宋"/>
          <w:sz w:val="24"/>
        </w:rPr>
        <w:t>办理月结算工作</w:t>
      </w:r>
      <w:r>
        <w:rPr>
          <w:rFonts w:hint="eastAsia" w:ascii="宋体" w:hAnsi="宋体" w:cs="仿宋"/>
          <w:sz w:val="24"/>
        </w:rPr>
        <w:t>。</w:t>
      </w:r>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成交供应</w:t>
      </w:r>
      <w:r>
        <w:rPr>
          <w:rFonts w:hint="eastAsia" w:ascii="宋体" w:hAnsi="宋体" w:cs="仿宋"/>
          <w:sz w:val="24"/>
        </w:rPr>
        <w:t>商</w:t>
      </w:r>
      <w:r>
        <w:rPr>
          <w:rFonts w:ascii="宋体" w:hAnsi="宋体" w:cs="仿宋"/>
          <w:sz w:val="24"/>
        </w:rPr>
        <w:t>需委派至少2名</w:t>
      </w:r>
      <w:r>
        <w:rPr>
          <w:rFonts w:hint="eastAsia" w:ascii="宋体" w:hAnsi="宋体" w:cs="仿宋"/>
          <w:sz w:val="24"/>
        </w:rPr>
        <w:t>工作</w:t>
      </w:r>
      <w:r>
        <w:rPr>
          <w:rFonts w:ascii="宋体" w:hAnsi="宋体" w:cs="仿宋"/>
          <w:sz w:val="24"/>
        </w:rPr>
        <w:t>人员</w:t>
      </w:r>
      <w:r>
        <w:rPr>
          <w:rFonts w:hint="eastAsia" w:ascii="宋体" w:hAnsi="宋体" w:cs="仿宋"/>
          <w:sz w:val="24"/>
        </w:rPr>
        <w:t>到场</w:t>
      </w:r>
      <w:r>
        <w:rPr>
          <w:rFonts w:ascii="宋体" w:hAnsi="宋体" w:cs="仿宋"/>
          <w:sz w:val="24"/>
        </w:rPr>
        <w:t>提供服务</w:t>
      </w:r>
      <w:r>
        <w:rPr>
          <w:rFonts w:hint="eastAsia" w:ascii="宋体" w:hAnsi="宋体" w:cs="仿宋"/>
          <w:sz w:val="24"/>
        </w:rPr>
        <w:t>，工作人员</w:t>
      </w:r>
      <w:bookmarkStart w:id="21" w:name="OLE_LINK6"/>
      <w:bookmarkStart w:id="22" w:name="OLE_LINK5"/>
      <w:r>
        <w:rPr>
          <w:rFonts w:ascii="宋体" w:hAnsi="宋体" w:cs="仿宋"/>
          <w:sz w:val="24"/>
        </w:rPr>
        <w:t>要</w:t>
      </w:r>
      <w:r>
        <w:rPr>
          <w:rFonts w:hint="eastAsia" w:ascii="宋体" w:hAnsi="宋体" w:cs="仿宋"/>
          <w:sz w:val="24"/>
        </w:rPr>
        <w:t>穿工作服、</w:t>
      </w:r>
      <w:r>
        <w:rPr>
          <w:rFonts w:ascii="宋体" w:hAnsi="宋体" w:cs="仿宋"/>
          <w:sz w:val="24"/>
        </w:rPr>
        <w:t>佩戴工作证，遵守医院管理规定，</w:t>
      </w:r>
      <w:r>
        <w:rPr>
          <w:rFonts w:hint="eastAsia" w:ascii="宋体" w:hAnsi="宋体" w:cs="仿宋"/>
          <w:sz w:val="24"/>
        </w:rPr>
        <w:t>文明有礼，安全作业。</w:t>
      </w:r>
      <w:bookmarkEnd w:id="21"/>
      <w:bookmarkEnd w:id="22"/>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成交供应</w:t>
      </w:r>
      <w:r>
        <w:rPr>
          <w:rFonts w:hint="eastAsia" w:ascii="宋体" w:hAnsi="宋体" w:cs="仿宋"/>
          <w:sz w:val="24"/>
        </w:rPr>
        <w:t>商的工作人员</w:t>
      </w:r>
      <w:r>
        <w:rPr>
          <w:rFonts w:ascii="宋体" w:hAnsi="宋体" w:cs="仿宋"/>
          <w:sz w:val="24"/>
        </w:rPr>
        <w:t>必需</w:t>
      </w:r>
      <w:r>
        <w:rPr>
          <w:rFonts w:hint="eastAsia" w:ascii="宋体" w:hAnsi="宋体" w:cs="仿宋"/>
          <w:sz w:val="24"/>
        </w:rPr>
        <w:t>遵守</w:t>
      </w:r>
      <w:r>
        <w:rPr>
          <w:rFonts w:ascii="宋体" w:hAnsi="宋体" w:cs="仿宋"/>
          <w:sz w:val="24"/>
        </w:rPr>
        <w:t>采购人</w:t>
      </w:r>
      <w:r>
        <w:rPr>
          <w:rFonts w:hint="eastAsia" w:ascii="宋体" w:hAnsi="宋体" w:cs="仿宋"/>
          <w:sz w:val="24"/>
        </w:rPr>
        <w:t>的相关管理制度，因违反</w:t>
      </w:r>
      <w:r>
        <w:rPr>
          <w:rFonts w:ascii="宋体" w:hAnsi="宋体" w:cs="仿宋"/>
          <w:sz w:val="24"/>
        </w:rPr>
        <w:t>采购人</w:t>
      </w:r>
      <w:r>
        <w:rPr>
          <w:rFonts w:hint="eastAsia" w:ascii="宋体" w:hAnsi="宋体" w:cs="仿宋"/>
          <w:sz w:val="24"/>
        </w:rPr>
        <w:t>相关管理制度而造成影响及损失由</w:t>
      </w:r>
      <w:r>
        <w:rPr>
          <w:rFonts w:ascii="宋体" w:hAnsi="宋体" w:cs="仿宋"/>
          <w:sz w:val="24"/>
        </w:rPr>
        <w:t>成交供应</w:t>
      </w:r>
      <w:r>
        <w:rPr>
          <w:rFonts w:hint="eastAsia" w:ascii="宋体" w:hAnsi="宋体" w:cs="仿宋"/>
          <w:sz w:val="24"/>
        </w:rPr>
        <w:t>商全部承担，涉及到违法行为</w:t>
      </w:r>
      <w:r>
        <w:rPr>
          <w:rFonts w:ascii="宋体" w:hAnsi="宋体" w:cs="仿宋"/>
          <w:sz w:val="24"/>
        </w:rPr>
        <w:t>的</w:t>
      </w:r>
      <w:r>
        <w:rPr>
          <w:rFonts w:hint="eastAsia" w:ascii="宋体" w:hAnsi="宋体" w:cs="仿宋"/>
          <w:sz w:val="24"/>
        </w:rPr>
        <w:t>，</w:t>
      </w:r>
      <w:r>
        <w:rPr>
          <w:rFonts w:ascii="宋体" w:hAnsi="宋体" w:cs="仿宋"/>
          <w:sz w:val="24"/>
        </w:rPr>
        <w:t>采购人有权</w:t>
      </w:r>
      <w:r>
        <w:rPr>
          <w:rFonts w:hint="eastAsia" w:ascii="宋体" w:hAnsi="宋体" w:cs="仿宋"/>
          <w:sz w:val="24"/>
        </w:rPr>
        <w:t>依法追究法律责任。</w:t>
      </w:r>
    </w:p>
    <w:p>
      <w:pPr>
        <w:numPr>
          <w:ilvl w:val="0"/>
          <w:numId w:val="5"/>
        </w:numPr>
        <w:adjustRightInd w:val="0"/>
        <w:snapToGrid w:val="0"/>
        <w:spacing w:line="360" w:lineRule="auto"/>
        <w:ind w:left="0" w:firstLine="480" w:firstLineChars="200"/>
        <w:rPr>
          <w:rFonts w:ascii="宋体" w:hAnsi="宋体" w:cs="仿宋"/>
          <w:sz w:val="24"/>
        </w:rPr>
      </w:pPr>
      <w:bookmarkStart w:id="23" w:name="OLE_LINK1"/>
      <w:bookmarkStart w:id="24" w:name="OLE_LINK2"/>
      <w:r>
        <w:rPr>
          <w:rFonts w:ascii="宋体" w:hAnsi="宋体" w:cs="仿宋"/>
          <w:sz w:val="24"/>
        </w:rPr>
        <w:t>成交供应</w:t>
      </w:r>
      <w:r>
        <w:rPr>
          <w:rFonts w:hint="eastAsia" w:ascii="宋体" w:hAnsi="宋体" w:cs="仿宋"/>
          <w:sz w:val="24"/>
        </w:rPr>
        <w:t>商</w:t>
      </w:r>
      <w:r>
        <w:rPr>
          <w:rFonts w:ascii="宋体" w:hAnsi="宋体" w:cs="仿宋"/>
          <w:sz w:val="24"/>
        </w:rPr>
        <w:t>按</w:t>
      </w:r>
      <w:r>
        <w:rPr>
          <w:rFonts w:hint="eastAsia" w:ascii="宋体" w:hAnsi="宋体" w:cs="仿宋"/>
          <w:sz w:val="24"/>
        </w:rPr>
        <w:t>采购人</w:t>
      </w:r>
      <w:r>
        <w:rPr>
          <w:rFonts w:ascii="宋体" w:hAnsi="宋体" w:cs="仿宋"/>
          <w:sz w:val="24"/>
        </w:rPr>
        <w:t>的收运要求</w:t>
      </w:r>
      <w:r>
        <w:rPr>
          <w:rFonts w:hint="eastAsia" w:ascii="宋体" w:hAnsi="宋体" w:cs="仿宋"/>
          <w:sz w:val="24"/>
        </w:rPr>
        <w:t>至少每2天</w:t>
      </w:r>
      <w:r>
        <w:rPr>
          <w:rFonts w:ascii="宋体" w:hAnsi="宋体" w:cs="仿宋"/>
          <w:sz w:val="24"/>
        </w:rPr>
        <w:t>到</w:t>
      </w:r>
      <w:r>
        <w:rPr>
          <w:rFonts w:hint="eastAsia" w:ascii="宋体" w:hAnsi="宋体" w:cs="仿宋"/>
          <w:sz w:val="24"/>
        </w:rPr>
        <w:t>广州医科大学附属番禺中心医院</w:t>
      </w:r>
      <w:r>
        <w:rPr>
          <w:rFonts w:ascii="宋体" w:hAnsi="宋体" w:cs="仿宋"/>
          <w:sz w:val="24"/>
        </w:rPr>
        <w:t>进行收运，</w:t>
      </w:r>
      <w:r>
        <w:rPr>
          <w:rFonts w:hint="eastAsia" w:ascii="宋体" w:hAnsi="宋体" w:cs="仿宋"/>
          <w:sz w:val="24"/>
        </w:rPr>
        <w:t>至少每周1次</w:t>
      </w:r>
      <w:r>
        <w:rPr>
          <w:rFonts w:ascii="宋体" w:hAnsi="宋体" w:cs="仿宋"/>
          <w:sz w:val="24"/>
        </w:rPr>
        <w:t>到</w:t>
      </w:r>
      <w:r>
        <w:rPr>
          <w:rFonts w:hint="eastAsia" w:ascii="宋体" w:hAnsi="宋体" w:cs="仿宋"/>
          <w:sz w:val="24"/>
        </w:rPr>
        <w:t>广州市番禺区第七人民医院</w:t>
      </w:r>
      <w:r>
        <w:rPr>
          <w:rFonts w:ascii="宋体" w:hAnsi="宋体" w:cs="仿宋"/>
          <w:sz w:val="24"/>
        </w:rPr>
        <w:t>进行收运。</w:t>
      </w:r>
      <w:bookmarkStart w:id="25" w:name="OLE_LINK14"/>
      <w:bookmarkStart w:id="26" w:name="OLE_LINK13"/>
      <w:r>
        <w:rPr>
          <w:rFonts w:ascii="宋体" w:hAnsi="宋体" w:cs="仿宋"/>
          <w:sz w:val="24"/>
        </w:rPr>
        <w:t>采购人提出</w:t>
      </w:r>
      <w:r>
        <w:rPr>
          <w:rFonts w:hint="eastAsia" w:ascii="宋体" w:hAnsi="宋体" w:cs="仿宋"/>
          <w:sz w:val="24"/>
        </w:rPr>
        <w:t>可回收物</w:t>
      </w:r>
      <w:r>
        <w:rPr>
          <w:rFonts w:ascii="宋体" w:hAnsi="宋体" w:cs="仿宋"/>
          <w:sz w:val="24"/>
        </w:rPr>
        <w:t>收运需求后，成交供应商需在48小时内响应。</w:t>
      </w:r>
      <w:bookmarkEnd w:id="23"/>
      <w:bookmarkEnd w:id="24"/>
      <w:bookmarkEnd w:id="25"/>
      <w:bookmarkEnd w:id="26"/>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采购人如有重点政务接待、各项检查等应急任务，成交供应</w:t>
      </w:r>
      <w:r>
        <w:rPr>
          <w:rFonts w:hint="eastAsia" w:ascii="宋体" w:hAnsi="宋体" w:cs="仿宋"/>
          <w:sz w:val="24"/>
        </w:rPr>
        <w:t>商</w:t>
      </w:r>
      <w:r>
        <w:rPr>
          <w:rFonts w:ascii="宋体" w:hAnsi="宋体" w:cs="仿宋"/>
          <w:sz w:val="24"/>
        </w:rPr>
        <w:t>应积极配合采购人的迎检工作，并在12小时内进行应急响应。</w:t>
      </w:r>
    </w:p>
    <w:p>
      <w:pPr>
        <w:numPr>
          <w:ilvl w:val="0"/>
          <w:numId w:val="5"/>
        </w:numPr>
        <w:adjustRightInd w:val="0"/>
        <w:snapToGrid w:val="0"/>
        <w:spacing w:line="360" w:lineRule="auto"/>
        <w:ind w:left="0" w:firstLine="480" w:firstLineChars="200"/>
        <w:rPr>
          <w:rFonts w:ascii="宋体" w:hAnsi="宋体" w:cs="仿宋"/>
          <w:sz w:val="24"/>
        </w:rPr>
      </w:pPr>
      <w:r>
        <w:rPr>
          <w:rFonts w:hint="eastAsia" w:ascii="宋体" w:hAnsi="宋体" w:cs="仿宋"/>
          <w:sz w:val="24"/>
        </w:rPr>
        <w:t>清运可回收物过程中，采购人和</w:t>
      </w:r>
      <w:r>
        <w:rPr>
          <w:rFonts w:ascii="宋体" w:hAnsi="宋体" w:cs="仿宋"/>
          <w:sz w:val="24"/>
        </w:rPr>
        <w:t>成交</w:t>
      </w:r>
      <w:r>
        <w:rPr>
          <w:rFonts w:hint="eastAsia" w:ascii="宋体" w:hAnsi="宋体" w:cs="仿宋"/>
          <w:sz w:val="24"/>
        </w:rPr>
        <w:t>供应商当面过称称重，双方人员在《环保服务单》签</w:t>
      </w:r>
      <w:r>
        <w:rPr>
          <w:rFonts w:ascii="宋体" w:hAnsi="宋体" w:cs="仿宋"/>
          <w:sz w:val="24"/>
        </w:rPr>
        <w:t>名确认</w:t>
      </w:r>
      <w:r>
        <w:rPr>
          <w:rFonts w:hint="eastAsia" w:ascii="宋体" w:hAnsi="宋体" w:cs="仿宋"/>
          <w:sz w:val="24"/>
        </w:rPr>
        <w:t>（保证没有混入医疗废物，双方责任清晰）。清运结束后，</w:t>
      </w:r>
      <w:r>
        <w:rPr>
          <w:rFonts w:ascii="宋体" w:hAnsi="宋体" w:cs="仿宋"/>
          <w:sz w:val="24"/>
        </w:rPr>
        <w:t>成交供应</w:t>
      </w:r>
      <w:r>
        <w:rPr>
          <w:rFonts w:hint="eastAsia" w:ascii="宋体" w:hAnsi="宋体" w:cs="仿宋"/>
          <w:sz w:val="24"/>
        </w:rPr>
        <w:t>商需清洁场地后方能离开。</w:t>
      </w:r>
    </w:p>
    <w:p>
      <w:pPr>
        <w:numPr>
          <w:ilvl w:val="0"/>
          <w:numId w:val="6"/>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w:t>
      </w:r>
      <w:r>
        <w:rPr>
          <w:rFonts w:hint="eastAsia" w:ascii="宋体" w:hAnsi="宋体" w:cs="仿宋"/>
          <w:sz w:val="24"/>
        </w:rPr>
        <w:t>供应商需自备1台</w:t>
      </w:r>
      <w:r>
        <w:rPr>
          <w:rFonts w:ascii="宋体" w:hAnsi="宋体" w:cs="仿宋"/>
          <w:sz w:val="24"/>
        </w:rPr>
        <w:t>纸张破碎机</w:t>
      </w:r>
      <w:r>
        <w:rPr>
          <w:rFonts w:hint="eastAsia" w:ascii="宋体" w:hAnsi="宋体" w:cs="仿宋"/>
          <w:sz w:val="24"/>
        </w:rPr>
        <w:t>，按采购人要求频次，在采购人院内指定位置执行纸质资料破碎的工作。</w:t>
      </w:r>
      <w:bookmarkStart w:id="27" w:name="OLE_LINK15"/>
      <w:bookmarkStart w:id="28" w:name="OLE_LINK16"/>
      <w:bookmarkStart w:id="29" w:name="OLE_LINK17"/>
      <w:r>
        <w:rPr>
          <w:rFonts w:ascii="宋体" w:hAnsi="宋体" w:cs="仿宋"/>
          <w:sz w:val="24"/>
        </w:rPr>
        <w:t>采购人提出</w:t>
      </w:r>
      <w:r>
        <w:rPr>
          <w:rFonts w:hint="eastAsia" w:ascii="宋体" w:hAnsi="宋体" w:cs="仿宋"/>
          <w:sz w:val="24"/>
        </w:rPr>
        <w:t>纸质资料破碎的</w:t>
      </w:r>
      <w:r>
        <w:rPr>
          <w:rFonts w:ascii="宋体" w:hAnsi="宋体" w:cs="仿宋"/>
          <w:sz w:val="24"/>
        </w:rPr>
        <w:t>需求后，成交供应商需在24小时内响应。</w:t>
      </w:r>
      <w:bookmarkEnd w:id="27"/>
      <w:bookmarkEnd w:id="28"/>
      <w:bookmarkEnd w:id="29"/>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w:t>
      </w:r>
      <w:r>
        <w:rPr>
          <w:rFonts w:hint="eastAsia" w:ascii="宋体" w:hAnsi="宋体" w:cs="仿宋"/>
          <w:sz w:val="24"/>
        </w:rPr>
        <w:t>供应商在可回收医疗物品回收、分类、包装、运输、无害化处理处置等过程中，必须符合国家法律规定的环保要求和标准。如</w:t>
      </w:r>
      <w:r>
        <w:rPr>
          <w:rFonts w:ascii="宋体" w:hAnsi="宋体" w:cs="仿宋"/>
          <w:sz w:val="24"/>
        </w:rPr>
        <w:t>成交</w:t>
      </w:r>
      <w:r>
        <w:rPr>
          <w:rFonts w:hint="eastAsia" w:ascii="宋体" w:hAnsi="宋体" w:cs="仿宋"/>
          <w:sz w:val="24"/>
        </w:rPr>
        <w:t>供应商有违反相关污染防治要求或在回收利用过程中发生的废水、废气、环境噪音等排放不达标，责任由</w:t>
      </w:r>
      <w:r>
        <w:rPr>
          <w:rFonts w:ascii="宋体" w:hAnsi="宋体" w:cs="仿宋"/>
          <w:sz w:val="24"/>
        </w:rPr>
        <w:t>成交供应</w:t>
      </w:r>
      <w:r>
        <w:rPr>
          <w:rFonts w:hint="eastAsia" w:ascii="宋体" w:hAnsi="宋体" w:cs="仿宋"/>
          <w:sz w:val="24"/>
        </w:rPr>
        <w:t>商承担，与</w:t>
      </w:r>
      <w:r>
        <w:rPr>
          <w:rFonts w:ascii="宋体" w:hAnsi="宋体" w:cs="仿宋"/>
          <w:sz w:val="24"/>
        </w:rPr>
        <w:t>采购人</w:t>
      </w:r>
      <w:r>
        <w:rPr>
          <w:rFonts w:hint="eastAsia" w:ascii="宋体" w:hAnsi="宋体" w:cs="仿宋"/>
          <w:sz w:val="24"/>
        </w:rPr>
        <w:t>无关。</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商必须严格遵守国家相关法律法规收集未被污染的使用后的输液袋（瓶）、废塑料AB胶桶，在</w:t>
      </w:r>
      <w:r>
        <w:rPr>
          <w:rFonts w:ascii="宋体" w:hAnsi="宋体" w:cs="仿宋"/>
          <w:sz w:val="24"/>
        </w:rPr>
        <w:t>成交供应</w:t>
      </w:r>
      <w:r>
        <w:rPr>
          <w:rFonts w:hint="eastAsia" w:ascii="宋体" w:hAnsi="宋体" w:cs="仿宋"/>
          <w:sz w:val="24"/>
        </w:rPr>
        <w:t>商工厂范围内进行</w:t>
      </w:r>
      <w:r>
        <w:rPr>
          <w:rFonts w:ascii="宋体" w:hAnsi="宋体" w:cs="仿宋"/>
          <w:sz w:val="24"/>
        </w:rPr>
        <w:t>破碎</w:t>
      </w:r>
      <w:r>
        <w:rPr>
          <w:rFonts w:hint="eastAsia" w:ascii="宋体" w:hAnsi="宋体" w:cs="仿宋"/>
          <w:sz w:val="24"/>
        </w:rPr>
        <w:t>，并承担其</w:t>
      </w:r>
      <w:r>
        <w:rPr>
          <w:rFonts w:ascii="宋体" w:hAnsi="宋体" w:cs="仿宋"/>
          <w:sz w:val="24"/>
        </w:rPr>
        <w:t>破碎</w:t>
      </w:r>
      <w:r>
        <w:rPr>
          <w:rFonts w:hint="eastAsia" w:ascii="宋体" w:hAnsi="宋体" w:cs="仿宋"/>
          <w:sz w:val="24"/>
        </w:rPr>
        <w:t>过程中的安全及环保责任。</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商不得把未粉碎的处方纸及</w:t>
      </w:r>
      <w:r>
        <w:rPr>
          <w:rFonts w:ascii="宋体" w:hAnsi="宋体" w:cs="仿宋"/>
          <w:sz w:val="24"/>
        </w:rPr>
        <w:t>采购人</w:t>
      </w:r>
      <w:r>
        <w:rPr>
          <w:rFonts w:hint="eastAsia" w:ascii="宋体" w:hAnsi="宋体" w:cs="仿宋"/>
          <w:sz w:val="24"/>
        </w:rPr>
        <w:t>要求粉碎而未粉碎的重要纸质资料运出院外，</w:t>
      </w:r>
      <w:r>
        <w:rPr>
          <w:rFonts w:ascii="宋体" w:hAnsi="宋体" w:cs="仿宋"/>
          <w:sz w:val="24"/>
        </w:rPr>
        <w:t>成交供应</w:t>
      </w:r>
      <w:r>
        <w:rPr>
          <w:rFonts w:hint="eastAsia" w:ascii="宋体" w:hAnsi="宋体" w:cs="仿宋"/>
          <w:sz w:val="24"/>
        </w:rPr>
        <w:t>商收集时必须严格检查，严禁未粉碎的处方和重要纸质资料外流。</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商承诺严格遵守国家相关法律法规及医疗机构关于病人信息保密的规定，对收运过程中可能接触到的患者所有个人信息予以严格保密，不以任何形式泄露给未经授权的第三方。</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商收运</w:t>
      </w:r>
      <w:r>
        <w:rPr>
          <w:rFonts w:ascii="宋体" w:hAnsi="宋体" w:cs="仿宋"/>
          <w:sz w:val="24"/>
        </w:rPr>
        <w:t>采购人</w:t>
      </w:r>
      <w:r>
        <w:rPr>
          <w:rFonts w:hint="eastAsia" w:ascii="宋体" w:hAnsi="宋体" w:cs="仿宋"/>
          <w:sz w:val="24"/>
        </w:rPr>
        <w:t>可回收物时不得超载运输，运输途中不得飘洒污染，</w:t>
      </w:r>
      <w:r>
        <w:rPr>
          <w:rFonts w:ascii="宋体" w:hAnsi="宋体" w:cs="仿宋"/>
          <w:sz w:val="24"/>
        </w:rPr>
        <w:t>影响市容环境卫生，严禁乱排乱放。</w:t>
      </w:r>
      <w:r>
        <w:rPr>
          <w:rFonts w:hint="eastAsia" w:ascii="宋体" w:hAnsi="宋体" w:cs="仿宋"/>
          <w:sz w:val="24"/>
        </w:rPr>
        <w:t>如有违反，因此产生的一切责任及纠纷由</w:t>
      </w:r>
      <w:r>
        <w:rPr>
          <w:rFonts w:ascii="宋体" w:hAnsi="宋体" w:cs="仿宋"/>
          <w:sz w:val="24"/>
        </w:rPr>
        <w:t>成交供应商</w:t>
      </w:r>
      <w:r>
        <w:rPr>
          <w:rFonts w:hint="eastAsia" w:ascii="宋体" w:hAnsi="宋体" w:cs="仿宋"/>
          <w:sz w:val="24"/>
        </w:rPr>
        <w:t>承担并负责解决，与采购人无关。</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商提供的塑料利器盒必须符合国家环境保护总局制定的</w:t>
      </w:r>
      <w:bookmarkStart w:id="30" w:name="OLE_LINK19"/>
      <w:bookmarkStart w:id="31" w:name="OLE_LINK20"/>
      <w:r>
        <w:rPr>
          <w:rFonts w:hint="eastAsia" w:ascii="宋体" w:hAnsi="宋体" w:cs="仿宋"/>
          <w:sz w:val="24"/>
        </w:rPr>
        <w:t>《医疗废物专用包装袋、容器和警示标志标准（HJ 421-2008）》</w:t>
      </w:r>
      <w:bookmarkEnd w:id="30"/>
      <w:bookmarkEnd w:id="31"/>
      <w:r>
        <w:rPr>
          <w:rFonts w:hint="eastAsia"/>
          <w:sz w:val="24"/>
        </w:rPr>
        <w:t>或相关最新文件要求</w:t>
      </w:r>
      <w:r>
        <w:rPr>
          <w:rFonts w:hint="eastAsia" w:ascii="宋体" w:hAnsi="宋体" w:cs="仿宋"/>
          <w:sz w:val="24"/>
        </w:rPr>
        <w:t>，</w:t>
      </w:r>
      <w:r>
        <w:rPr>
          <w:rFonts w:hint="eastAsia"/>
          <w:sz w:val="24"/>
        </w:rPr>
        <w:t>否则视作不合格商品</w:t>
      </w:r>
      <w:r>
        <w:rPr>
          <w:rFonts w:hint="eastAsia" w:ascii="宋体" w:hAnsi="宋体" w:cs="仿宋"/>
          <w:sz w:val="24"/>
        </w:rPr>
        <w:t>。如有违反相关法律法规要求，因此产生的一切责任及纠纷由</w:t>
      </w:r>
      <w:r>
        <w:rPr>
          <w:rFonts w:ascii="宋体" w:hAnsi="宋体" w:cs="仿宋"/>
          <w:sz w:val="24"/>
        </w:rPr>
        <w:t>成交供应商</w:t>
      </w:r>
      <w:r>
        <w:rPr>
          <w:rFonts w:hint="eastAsia" w:ascii="宋体" w:hAnsi="宋体" w:cs="仿宋"/>
          <w:sz w:val="24"/>
        </w:rPr>
        <w:t>承担并负责解决，与采购人无关。</w:t>
      </w:r>
    </w:p>
    <w:p>
      <w:pPr>
        <w:numPr>
          <w:ilvl w:val="0"/>
          <w:numId w:val="7"/>
        </w:numPr>
        <w:adjustRightInd w:val="0"/>
        <w:snapToGrid w:val="0"/>
        <w:spacing w:line="360" w:lineRule="auto"/>
        <w:ind w:left="0" w:firstLine="480" w:firstLineChars="200"/>
        <w:jc w:val="left"/>
        <w:rPr>
          <w:rFonts w:ascii="宋体" w:hAnsi="宋体" w:cs="仿宋"/>
          <w:sz w:val="24"/>
        </w:rPr>
      </w:pPr>
      <w:r>
        <w:rPr>
          <w:rFonts w:hint="eastAsia" w:ascii="宋体" w:hAnsi="宋体" w:cs="仿宋"/>
          <w:sz w:val="24"/>
        </w:rPr>
        <w:t>成交供应商需采用厂家标准包装，且必须满足运输安全要求和规范规定，由于包装和运输过程中造成锐器盒损坏，一切责任由供应商承担。成交供应商有义务保证货物包装的完好无损。货物须以品种及规格为单位进行装箱，在每个包装箱上注明名称、规格、数量。</w:t>
      </w:r>
    </w:p>
    <w:p>
      <w:pPr>
        <w:numPr>
          <w:ilvl w:val="0"/>
          <w:numId w:val="7"/>
        </w:numPr>
        <w:adjustRightInd w:val="0"/>
        <w:snapToGrid w:val="0"/>
        <w:spacing w:line="360" w:lineRule="auto"/>
        <w:ind w:left="0" w:firstLine="480" w:firstLineChars="200"/>
        <w:jc w:val="left"/>
        <w:rPr>
          <w:rFonts w:ascii="宋体" w:hAnsi="宋体" w:cs="仿宋"/>
          <w:sz w:val="24"/>
        </w:rPr>
      </w:pPr>
      <w:r>
        <w:rPr>
          <w:rFonts w:hint="eastAsia" w:ascii="宋体" w:hAnsi="宋体" w:cs="仿宋"/>
          <w:sz w:val="24"/>
        </w:rPr>
        <w:t>采购人两个院区内有多个配送点（约1</w:t>
      </w:r>
      <w:r>
        <w:rPr>
          <w:rFonts w:ascii="宋体" w:hAnsi="宋体" w:cs="仿宋"/>
          <w:sz w:val="24"/>
        </w:rPr>
        <w:t>00</w:t>
      </w:r>
      <w:r>
        <w:rPr>
          <w:rFonts w:hint="eastAsia" w:ascii="宋体" w:hAnsi="宋体" w:cs="仿宋"/>
          <w:sz w:val="24"/>
        </w:rPr>
        <w:t>个科室/部门），</w:t>
      </w:r>
      <w:r>
        <w:rPr>
          <w:rFonts w:ascii="宋体" w:hAnsi="宋体" w:cs="仿宋"/>
          <w:sz w:val="24"/>
        </w:rPr>
        <w:t>成交供应</w:t>
      </w:r>
      <w:r>
        <w:rPr>
          <w:rFonts w:hint="eastAsia" w:ascii="宋体" w:hAnsi="宋体" w:cs="仿宋"/>
          <w:sz w:val="24"/>
        </w:rPr>
        <w:t>商</w:t>
      </w:r>
      <w:r>
        <w:rPr>
          <w:rFonts w:ascii="宋体" w:hAnsi="宋体" w:cs="仿宋"/>
          <w:sz w:val="24"/>
        </w:rPr>
        <w:t>按</w:t>
      </w:r>
      <w:r>
        <w:rPr>
          <w:rFonts w:hint="eastAsia" w:ascii="宋体" w:hAnsi="宋体" w:cs="仿宋"/>
          <w:sz w:val="24"/>
        </w:rPr>
        <w:t>采购人的</w:t>
      </w:r>
      <w:r>
        <w:rPr>
          <w:rFonts w:ascii="宋体" w:hAnsi="宋体" w:cs="仿宋"/>
          <w:sz w:val="24"/>
        </w:rPr>
        <w:t>要求</w:t>
      </w:r>
      <w:r>
        <w:rPr>
          <w:rFonts w:hint="eastAsia" w:ascii="宋体" w:hAnsi="宋体" w:cs="仿宋"/>
          <w:sz w:val="24"/>
        </w:rPr>
        <w:t>至少每周1次</w:t>
      </w:r>
      <w:r>
        <w:rPr>
          <w:rFonts w:ascii="宋体" w:hAnsi="宋体" w:cs="仿宋"/>
          <w:sz w:val="24"/>
        </w:rPr>
        <w:t>分别</w:t>
      </w:r>
      <w:r>
        <w:rPr>
          <w:rFonts w:hint="eastAsia" w:ascii="宋体" w:hAnsi="宋体" w:cs="仿宋"/>
          <w:sz w:val="24"/>
        </w:rPr>
        <w:t>配送塑料利器盒到</w:t>
      </w:r>
      <w:r>
        <w:rPr>
          <w:rFonts w:ascii="宋体" w:hAnsi="宋体" w:cs="仿宋"/>
          <w:sz w:val="24"/>
        </w:rPr>
        <w:t>两个院区</w:t>
      </w:r>
      <w:r>
        <w:rPr>
          <w:rFonts w:hint="eastAsia" w:ascii="宋体" w:hAnsi="宋体" w:cs="仿宋"/>
          <w:sz w:val="24"/>
        </w:rPr>
        <w:t>内</w:t>
      </w:r>
      <w:r>
        <w:rPr>
          <w:rFonts w:ascii="宋体" w:hAnsi="宋体" w:cs="仿宋"/>
          <w:sz w:val="24"/>
        </w:rPr>
        <w:t>的</w:t>
      </w:r>
      <w:r>
        <w:rPr>
          <w:rFonts w:hint="eastAsia" w:ascii="宋体" w:hAnsi="宋体" w:cs="仿宋"/>
          <w:sz w:val="24"/>
        </w:rPr>
        <w:t>指定配送点</w:t>
      </w:r>
      <w:r>
        <w:rPr>
          <w:rFonts w:ascii="宋体" w:hAnsi="宋体" w:cs="仿宋"/>
          <w:sz w:val="24"/>
        </w:rPr>
        <w:t>。采购人提出</w:t>
      </w:r>
      <w:r>
        <w:rPr>
          <w:rFonts w:hint="eastAsia" w:ascii="宋体" w:hAnsi="宋体" w:cs="仿宋"/>
          <w:sz w:val="24"/>
        </w:rPr>
        <w:t>塑料利器盒下单</w:t>
      </w:r>
      <w:r>
        <w:rPr>
          <w:rFonts w:ascii="宋体" w:hAnsi="宋体" w:cs="仿宋"/>
          <w:sz w:val="24"/>
        </w:rPr>
        <w:t>需求后，成交供应商需在48小时内响应。</w:t>
      </w:r>
    </w:p>
    <w:p>
      <w:pPr>
        <w:numPr>
          <w:ilvl w:val="0"/>
          <w:numId w:val="7"/>
        </w:numPr>
        <w:adjustRightInd w:val="0"/>
        <w:snapToGrid w:val="0"/>
        <w:spacing w:line="360" w:lineRule="auto"/>
        <w:ind w:left="0" w:firstLine="480" w:firstLineChars="200"/>
        <w:jc w:val="left"/>
        <w:rPr>
          <w:rFonts w:ascii="宋体" w:hAnsi="宋体"/>
          <w:sz w:val="24"/>
        </w:rPr>
      </w:pPr>
      <w:r>
        <w:rPr>
          <w:rFonts w:ascii="宋体" w:hAnsi="宋体" w:cs="仿宋"/>
          <w:sz w:val="24"/>
        </w:rPr>
        <w:t>置换物资验收办法：货物送达采购人指定的地点后，由双方工作人员按送货单进行检货验收和签名确认。</w:t>
      </w:r>
    </w:p>
    <w:p>
      <w:pPr>
        <w:numPr>
          <w:ilvl w:val="0"/>
          <w:numId w:val="7"/>
        </w:numPr>
        <w:adjustRightInd w:val="0"/>
        <w:snapToGrid w:val="0"/>
        <w:spacing w:line="360" w:lineRule="auto"/>
        <w:ind w:left="0" w:firstLine="480" w:firstLineChars="200"/>
        <w:jc w:val="left"/>
        <w:rPr>
          <w:rFonts w:ascii="宋体" w:hAnsi="宋体" w:cs="仿宋"/>
          <w:sz w:val="24"/>
        </w:rPr>
      </w:pPr>
      <w:r>
        <w:rPr>
          <w:rFonts w:hint="eastAsia" w:ascii="宋体" w:hAnsi="宋体" w:cs="仿宋"/>
          <w:sz w:val="24"/>
        </w:rPr>
        <w:t>成交供应商如在工作中损坏采购人物业、设施设备如电梯、门、柱、墙、工具、集水井水泵、水管等，要负责修复或支付修复费用。</w:t>
      </w:r>
    </w:p>
    <w:p>
      <w:pPr>
        <w:numPr>
          <w:ilvl w:val="0"/>
          <w:numId w:val="7"/>
        </w:numPr>
        <w:adjustRightInd w:val="0"/>
        <w:snapToGrid w:val="0"/>
        <w:spacing w:line="360" w:lineRule="auto"/>
        <w:ind w:left="0" w:firstLine="420"/>
        <w:jc w:val="left"/>
        <w:rPr>
          <w:rFonts w:ascii="宋体" w:hAnsi="宋体" w:cs="仿宋"/>
          <w:sz w:val="24"/>
        </w:rPr>
      </w:pPr>
      <w:r>
        <w:rPr>
          <w:rFonts w:hint="eastAsia" w:ascii="宋体" w:hAnsi="宋体" w:cs="仿宋"/>
          <w:sz w:val="24"/>
        </w:rPr>
        <w:t>成交供应商必须做好工作人员所需要的安全教育及安全措施，保证工作人员的安全，发生安全事件要及时告知采购人，成交供应商工作人员在采购人工作范围内发生事故的一切责任及损失由成交供应商负责。</w:t>
      </w:r>
    </w:p>
    <w:p>
      <w:pPr>
        <w:numPr>
          <w:ilvl w:val="0"/>
          <w:numId w:val="7"/>
        </w:numPr>
        <w:adjustRightInd w:val="0"/>
        <w:snapToGrid w:val="0"/>
        <w:spacing w:line="360" w:lineRule="auto"/>
        <w:ind w:left="0" w:firstLine="420"/>
        <w:jc w:val="left"/>
        <w:rPr>
          <w:rFonts w:ascii="宋体" w:hAnsi="宋体" w:cs="仿宋"/>
          <w:sz w:val="24"/>
        </w:rPr>
      </w:pPr>
      <w:r>
        <w:rPr>
          <w:rFonts w:hint="eastAsia" w:ascii="宋体" w:hAnsi="宋体" w:cs="仿宋"/>
          <w:sz w:val="24"/>
        </w:rPr>
        <w:t>因成交供应商工作人员操作不当导致安全事件或其他不良事件发生的，一切责任及损失由成交供应商负责。</w:t>
      </w:r>
    </w:p>
    <w:p>
      <w:pPr>
        <w:adjustRightInd w:val="0"/>
        <w:snapToGrid w:val="0"/>
        <w:spacing w:line="360" w:lineRule="auto"/>
        <w:ind w:firstLine="480" w:firstLineChars="200"/>
        <w:rPr>
          <w:rFonts w:ascii="宋体" w:hAnsi="宋体"/>
          <w:sz w:val="24"/>
        </w:rPr>
      </w:pPr>
      <w:r>
        <w:rPr>
          <w:rFonts w:hint="eastAsia" w:ascii="宋体" w:hAnsi="宋体"/>
          <w:sz w:val="24"/>
          <w:lang w:val="en-US" w:eastAsia="zh-CN"/>
        </w:rPr>
        <w:t>九</w:t>
      </w:r>
      <w:r>
        <w:rPr>
          <w:rFonts w:hint="eastAsia" w:ascii="宋体" w:hAnsi="宋体"/>
          <w:sz w:val="24"/>
        </w:rPr>
        <w:t>、履约保证金</w:t>
      </w:r>
    </w:p>
    <w:p>
      <w:pPr>
        <w:adjustRightInd w:val="0"/>
        <w:snapToGrid w:val="0"/>
        <w:spacing w:line="360" w:lineRule="auto"/>
        <w:ind w:firstLine="480" w:firstLineChars="200"/>
        <w:rPr>
          <w:rFonts w:ascii="宋体" w:hAnsi="宋体"/>
          <w:sz w:val="24"/>
        </w:rPr>
      </w:pPr>
      <w:r>
        <w:rPr>
          <w:rFonts w:hint="eastAsia" w:ascii="宋体" w:hAnsi="宋体"/>
          <w:sz w:val="24"/>
        </w:rPr>
        <w:t>1.成交供应商应在合同签订后5个工作日内，应以支票、汇票、本票或者金融机构、担保机构出具的保函等非现金形式向采购人提交合同金额的5%作为履约保证金。</w:t>
      </w:r>
    </w:p>
    <w:p>
      <w:pPr>
        <w:adjustRightInd w:val="0"/>
        <w:snapToGrid w:val="0"/>
        <w:spacing w:line="360" w:lineRule="auto"/>
        <w:ind w:firstLine="480" w:firstLineChars="200"/>
        <w:rPr>
          <w:rFonts w:ascii="宋体" w:hAnsi="宋体"/>
          <w:sz w:val="24"/>
        </w:rPr>
      </w:pPr>
      <w:r>
        <w:rPr>
          <w:rFonts w:hint="eastAsia" w:ascii="宋体" w:hAnsi="宋体"/>
          <w:sz w:val="24"/>
        </w:rPr>
        <w:t>2.合同期满或经双方协商同意提前终止合同的，若成交供应商无违约行为，在成交供应商已按合同期间产生的所有费用交付所有置换物资，并妥善处理成交供应商工作人员在合同期间给采购人造成的所有纠纷、损失（包括但不限于成交供应商工作人员损坏采购人物业设施、设备等）后，采购人在5个工作日内办理履约保证金一次性无息返还手续。如成交供应商在合同结束前不妥善处理上述问题或存在其他违反合同条款的情况，影响采购人正常工作的，采购人有权从履约保证金中支付处理成交供应商在本项目遗留问题费用并赔偿因此造成采购人的损失。</w:t>
      </w:r>
    </w:p>
    <w:p>
      <w:pPr>
        <w:adjustRightInd w:val="0"/>
        <w:snapToGrid w:val="0"/>
        <w:spacing w:line="360" w:lineRule="auto"/>
        <w:ind w:firstLine="480" w:firstLineChars="200"/>
        <w:rPr>
          <w:rFonts w:ascii="宋体" w:hAnsi="宋体"/>
          <w:sz w:val="24"/>
        </w:rPr>
      </w:pPr>
      <w:r>
        <w:rPr>
          <w:rFonts w:ascii="宋体" w:hAnsi="宋体"/>
          <w:sz w:val="24"/>
        </w:rPr>
        <w:t>3.</w:t>
      </w:r>
      <w:r>
        <w:rPr>
          <w:rFonts w:hint="eastAsia" w:ascii="宋体" w:hAnsi="宋体"/>
          <w:sz w:val="24"/>
        </w:rPr>
        <w:t>在办理退回履约保证金款项手续时，必须由成交供应商法人持有效身份证明及履约保证金缴费凭证原件。如确需委托他人办理的，受托人必须持委托人签署的委托书、委托人主体材料、受托人身份证及履约保证金缴费凭证原件方可办理。</w:t>
      </w:r>
    </w:p>
    <w:p>
      <w:pPr>
        <w:adjustRightInd w:val="0"/>
        <w:snapToGrid w:val="0"/>
        <w:spacing w:line="360" w:lineRule="auto"/>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运营服务期间，如成交供应商有违约行为，采购人有权使用履约保证金进行赔偿或处罚，履约保证金被使用后，成交供应商必须在两个月内补齐履约保证金。</w:t>
      </w:r>
    </w:p>
    <w:p>
      <w:pPr>
        <w:adjustRightInd w:val="0"/>
        <w:snapToGrid w:val="0"/>
        <w:spacing w:line="360" w:lineRule="auto"/>
        <w:ind w:firstLine="480" w:firstLineChars="200"/>
        <w:rPr>
          <w:rFonts w:ascii="宋体" w:hAnsi="宋体"/>
          <w:sz w:val="24"/>
        </w:rPr>
      </w:pPr>
      <w:r>
        <w:rPr>
          <w:rFonts w:ascii="宋体" w:hAnsi="宋体"/>
          <w:sz w:val="24"/>
        </w:rPr>
        <w:t>5.</w:t>
      </w:r>
      <w:r>
        <w:rPr>
          <w:rFonts w:hint="eastAsia" w:ascii="宋体" w:hAnsi="宋体"/>
          <w:sz w:val="24"/>
        </w:rPr>
        <w:t>由于成交供应商原因而提前终止合同的，必须提前两个月通知采购人,否则因此造成采购人的一切损失由成交供应商负责，且采购人有权不退回履约保证金及有权另行向成交供应商追讨未交付置换物资金额及违约金。</w:t>
      </w:r>
    </w:p>
    <w:p>
      <w:pPr>
        <w:adjustRightInd w:val="0"/>
        <w:snapToGrid w:val="0"/>
        <w:spacing w:line="360" w:lineRule="auto"/>
        <w:ind w:firstLine="480" w:firstLineChars="200"/>
        <w:rPr>
          <w:rFonts w:ascii="宋体" w:hAnsi="宋体"/>
          <w:sz w:val="24"/>
        </w:rPr>
      </w:pPr>
      <w:r>
        <w:rPr>
          <w:rFonts w:ascii="宋体" w:hAnsi="宋体"/>
          <w:sz w:val="24"/>
        </w:rPr>
        <w:t>6</w:t>
      </w:r>
      <w:r>
        <w:rPr>
          <w:rFonts w:hint="eastAsia" w:ascii="宋体" w:hAnsi="宋体"/>
          <w:sz w:val="24"/>
        </w:rPr>
        <w:t>.采购人逾期退还履约保证金的，成交供应商可按有关法律规定追缴相应费用，但因成交供应商自身原因导致的除外。</w:t>
      </w:r>
    </w:p>
    <w:p>
      <w:pPr>
        <w:adjustRightInd w:val="0"/>
        <w:snapToGrid w:val="0"/>
        <w:spacing w:line="360" w:lineRule="auto"/>
        <w:ind w:firstLine="480" w:firstLineChars="200"/>
        <w:rPr>
          <w:rFonts w:ascii="宋体" w:hAnsi="宋体"/>
          <w:sz w:val="24"/>
        </w:rPr>
      </w:pPr>
      <w:r>
        <w:rPr>
          <w:rFonts w:hint="eastAsia" w:ascii="宋体" w:hAnsi="宋体"/>
          <w:sz w:val="24"/>
          <w:lang w:val="en-US" w:eastAsia="zh-CN"/>
        </w:rPr>
        <w:t>十</w:t>
      </w:r>
      <w:r>
        <w:rPr>
          <w:rFonts w:hint="eastAsia" w:ascii="宋体" w:hAnsi="宋体"/>
          <w:sz w:val="24"/>
        </w:rPr>
        <w:t>、违约责任</w:t>
      </w:r>
    </w:p>
    <w:p>
      <w:pPr>
        <w:widowControl/>
        <w:numPr>
          <w:ilvl w:val="0"/>
          <w:numId w:val="8"/>
        </w:numPr>
        <w:adjustRightInd w:val="0"/>
        <w:snapToGrid w:val="0"/>
        <w:spacing w:line="360" w:lineRule="auto"/>
        <w:ind w:left="0" w:firstLine="420"/>
        <w:jc w:val="left"/>
        <w:rPr>
          <w:rFonts w:ascii="宋体" w:hAnsi="宋体"/>
          <w:bCs/>
          <w:sz w:val="24"/>
        </w:rPr>
      </w:pPr>
      <w:bookmarkStart w:id="32" w:name="OLE_LINK21"/>
      <w:bookmarkStart w:id="33" w:name="OLE_LINK22"/>
      <w:bookmarkStart w:id="34" w:name="OLE_LINK47"/>
      <w:bookmarkStart w:id="35" w:name="OLE_LINK48"/>
      <w:r>
        <w:rPr>
          <w:rFonts w:hint="eastAsia" w:ascii="宋体" w:hAnsi="宋体"/>
          <w:bCs/>
          <w:sz w:val="24"/>
        </w:rPr>
        <w:t>成交供应商</w:t>
      </w:r>
      <w:bookmarkEnd w:id="32"/>
      <w:bookmarkEnd w:id="33"/>
      <w:r>
        <w:rPr>
          <w:rFonts w:hint="eastAsia" w:ascii="宋体" w:hAnsi="宋体"/>
          <w:bCs/>
          <w:sz w:val="24"/>
        </w:rPr>
        <w:t>季度</w:t>
      </w:r>
      <w:r>
        <w:rPr>
          <w:rFonts w:ascii="宋体" w:hAnsi="宋体"/>
          <w:bCs/>
          <w:sz w:val="24"/>
        </w:rPr>
        <w:t>考核</w:t>
      </w:r>
      <w:r>
        <w:rPr>
          <w:rFonts w:hint="eastAsia" w:ascii="宋体" w:hAnsi="宋体"/>
          <w:bCs/>
          <w:sz w:val="24"/>
        </w:rPr>
        <w:t>分数不合格的</w:t>
      </w:r>
      <w:r>
        <w:rPr>
          <w:rFonts w:ascii="宋体" w:hAnsi="宋体"/>
          <w:bCs/>
          <w:sz w:val="24"/>
        </w:rPr>
        <w:t>，视为违约，须向</w:t>
      </w:r>
      <w:bookmarkStart w:id="36" w:name="OLE_LINK30"/>
      <w:bookmarkStart w:id="37" w:name="OLE_LINK31"/>
      <w:r>
        <w:rPr>
          <w:rFonts w:hint="eastAsia" w:ascii="宋体" w:hAnsi="宋体"/>
          <w:bCs/>
          <w:sz w:val="24"/>
        </w:rPr>
        <w:t>采购人</w:t>
      </w:r>
      <w:bookmarkEnd w:id="36"/>
      <w:bookmarkEnd w:id="37"/>
      <w:r>
        <w:rPr>
          <w:rFonts w:ascii="宋体" w:hAnsi="宋体"/>
          <w:bCs/>
          <w:sz w:val="24"/>
        </w:rPr>
        <w:t>支付违约金</w:t>
      </w:r>
      <w:bookmarkEnd w:id="34"/>
      <w:r>
        <w:rPr>
          <w:rFonts w:hint="eastAsia" w:ascii="宋体" w:hAnsi="宋体"/>
          <w:bCs/>
          <w:sz w:val="24"/>
        </w:rPr>
        <w:t>：</w:t>
      </w:r>
    </w:p>
    <w:p>
      <w:pPr>
        <w:adjustRightInd w:val="0"/>
        <w:snapToGrid w:val="0"/>
        <w:spacing w:line="360" w:lineRule="auto"/>
        <w:ind w:firstLine="480" w:firstLineChars="200"/>
        <w:rPr>
          <w:rFonts w:ascii="宋体" w:hAnsi="宋体"/>
          <w:bCs/>
          <w:sz w:val="24"/>
        </w:rPr>
      </w:pPr>
      <w:r>
        <w:rPr>
          <w:rFonts w:ascii="宋体" w:hAnsi="宋体"/>
          <w:bCs/>
          <w:sz w:val="24"/>
        </w:rPr>
        <w:t>（</w:t>
      </w:r>
      <w:r>
        <w:rPr>
          <w:rFonts w:ascii="宋体" w:hAnsi="宋体"/>
          <w:sz w:val="24"/>
        </w:rPr>
        <w:t>1</w:t>
      </w:r>
      <w:r>
        <w:rPr>
          <w:rFonts w:ascii="宋体" w:hAnsi="宋体"/>
          <w:bCs/>
          <w:sz w:val="24"/>
        </w:rPr>
        <w:t>）</w:t>
      </w:r>
      <w:bookmarkStart w:id="38" w:name="OLE_LINK45"/>
      <w:r>
        <w:rPr>
          <w:rFonts w:hint="eastAsia" w:ascii="宋体" w:hAnsi="宋体"/>
          <w:bCs/>
          <w:sz w:val="24"/>
        </w:rPr>
        <w:t>总分1</w:t>
      </w:r>
      <w:r>
        <w:rPr>
          <w:rFonts w:ascii="宋体" w:hAnsi="宋体"/>
          <w:bCs/>
          <w:sz w:val="24"/>
        </w:rPr>
        <w:t>00</w:t>
      </w:r>
      <w:r>
        <w:rPr>
          <w:rFonts w:hint="eastAsia" w:ascii="宋体" w:hAnsi="宋体"/>
          <w:bCs/>
          <w:sz w:val="24"/>
        </w:rPr>
        <w:t>分，得分≥9</w:t>
      </w:r>
      <w:r>
        <w:rPr>
          <w:rFonts w:ascii="宋体" w:hAnsi="宋体"/>
          <w:bCs/>
          <w:sz w:val="24"/>
        </w:rPr>
        <w:t>0</w:t>
      </w:r>
      <w:r>
        <w:rPr>
          <w:rFonts w:hint="eastAsia" w:ascii="宋体" w:hAnsi="宋体"/>
          <w:bCs/>
          <w:sz w:val="24"/>
        </w:rPr>
        <w:t>分为合格</w:t>
      </w:r>
      <w:bookmarkEnd w:id="38"/>
      <w:r>
        <w:rPr>
          <w:rFonts w:hint="eastAsia" w:ascii="宋体" w:hAnsi="宋体"/>
          <w:bCs/>
          <w:sz w:val="24"/>
        </w:rPr>
        <w:t>；</w:t>
      </w:r>
    </w:p>
    <w:p>
      <w:pPr>
        <w:adjustRightInd w:val="0"/>
        <w:snapToGrid w:val="0"/>
        <w:spacing w:line="360" w:lineRule="auto"/>
        <w:ind w:firstLine="480" w:firstLineChars="200"/>
        <w:rPr>
          <w:rFonts w:ascii="宋体" w:hAnsi="宋体"/>
          <w:bCs/>
          <w:sz w:val="24"/>
        </w:rPr>
      </w:pPr>
      <w:r>
        <w:rPr>
          <w:rFonts w:ascii="宋体" w:hAnsi="宋体"/>
          <w:bCs/>
          <w:sz w:val="24"/>
        </w:rPr>
        <w:t>（</w:t>
      </w:r>
      <w:r>
        <w:rPr>
          <w:rFonts w:ascii="宋体" w:hAnsi="宋体"/>
          <w:sz w:val="24"/>
        </w:rPr>
        <w:t>2</w:t>
      </w:r>
      <w:r>
        <w:rPr>
          <w:rFonts w:ascii="宋体" w:hAnsi="宋体"/>
          <w:bCs/>
          <w:sz w:val="24"/>
        </w:rPr>
        <w:t>）</w:t>
      </w:r>
      <w:r>
        <w:rPr>
          <w:rFonts w:ascii="宋体" w:hAnsi="宋体"/>
          <w:sz w:val="24"/>
        </w:rPr>
        <w:t xml:space="preserve">90 </w:t>
      </w:r>
      <w:r>
        <w:rPr>
          <w:rFonts w:ascii="宋体" w:hAnsi="宋体"/>
          <w:bCs/>
          <w:sz w:val="24"/>
        </w:rPr>
        <w:t>分＞</w:t>
      </w:r>
      <w:r>
        <w:rPr>
          <w:rFonts w:hint="eastAsia" w:ascii="宋体" w:hAnsi="宋体"/>
          <w:bCs/>
          <w:sz w:val="24"/>
        </w:rPr>
        <w:t>得分</w:t>
      </w:r>
      <w:r>
        <w:rPr>
          <w:rFonts w:ascii="宋体" w:hAnsi="宋体"/>
          <w:sz w:val="24"/>
        </w:rPr>
        <w:t>≥80</w:t>
      </w:r>
      <w:r>
        <w:rPr>
          <w:rFonts w:ascii="宋体" w:hAnsi="宋体"/>
          <w:bCs/>
          <w:sz w:val="24"/>
        </w:rPr>
        <w:t>分，违约金</w:t>
      </w:r>
      <w:r>
        <w:rPr>
          <w:rFonts w:ascii="宋体" w:hAnsi="宋体"/>
          <w:sz w:val="24"/>
        </w:rPr>
        <w:t>1,000.00</w:t>
      </w:r>
      <w:r>
        <w:rPr>
          <w:rFonts w:ascii="宋体" w:hAnsi="宋体"/>
          <w:bCs/>
          <w:sz w:val="24"/>
        </w:rPr>
        <w:t>元；</w:t>
      </w:r>
    </w:p>
    <w:p>
      <w:pPr>
        <w:adjustRightInd w:val="0"/>
        <w:snapToGrid w:val="0"/>
        <w:spacing w:line="360" w:lineRule="auto"/>
        <w:ind w:firstLine="480" w:firstLineChars="200"/>
        <w:rPr>
          <w:rFonts w:ascii="宋体" w:hAnsi="宋体"/>
          <w:bCs/>
          <w:sz w:val="24"/>
        </w:rPr>
      </w:pPr>
      <w:r>
        <w:rPr>
          <w:rFonts w:ascii="宋体" w:hAnsi="宋体"/>
          <w:bCs/>
          <w:sz w:val="24"/>
        </w:rPr>
        <w:t>（</w:t>
      </w:r>
      <w:r>
        <w:rPr>
          <w:rFonts w:ascii="宋体" w:hAnsi="宋体"/>
          <w:sz w:val="24"/>
        </w:rPr>
        <w:t>3</w:t>
      </w:r>
      <w:r>
        <w:rPr>
          <w:rFonts w:ascii="宋体" w:hAnsi="宋体"/>
          <w:bCs/>
          <w:sz w:val="24"/>
        </w:rPr>
        <w:t>）</w:t>
      </w:r>
      <w:r>
        <w:rPr>
          <w:rFonts w:ascii="宋体" w:hAnsi="宋体"/>
          <w:sz w:val="24"/>
        </w:rPr>
        <w:t xml:space="preserve">80 </w:t>
      </w:r>
      <w:r>
        <w:rPr>
          <w:rFonts w:ascii="宋体" w:hAnsi="宋体"/>
          <w:bCs/>
          <w:sz w:val="24"/>
        </w:rPr>
        <w:t>分＞</w:t>
      </w:r>
      <w:r>
        <w:rPr>
          <w:rFonts w:hint="eastAsia" w:ascii="宋体" w:hAnsi="宋体"/>
          <w:bCs/>
          <w:sz w:val="24"/>
        </w:rPr>
        <w:t>得分</w:t>
      </w:r>
      <w:r>
        <w:rPr>
          <w:rFonts w:ascii="宋体" w:hAnsi="宋体"/>
          <w:sz w:val="24"/>
        </w:rPr>
        <w:t>≥70</w:t>
      </w:r>
      <w:r>
        <w:rPr>
          <w:rFonts w:ascii="宋体" w:hAnsi="宋体"/>
          <w:bCs/>
          <w:sz w:val="24"/>
        </w:rPr>
        <w:t>分，违约金</w:t>
      </w:r>
      <w:r>
        <w:rPr>
          <w:rFonts w:ascii="宋体" w:hAnsi="宋体"/>
          <w:sz w:val="24"/>
        </w:rPr>
        <w:t>3,000.00</w:t>
      </w:r>
      <w:r>
        <w:rPr>
          <w:rFonts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（4）得分</w:t>
      </w:r>
      <w:r>
        <w:rPr>
          <w:rFonts w:ascii="宋体" w:hAnsi="宋体"/>
          <w:bCs/>
          <w:sz w:val="24"/>
        </w:rPr>
        <w:t>＜</w:t>
      </w:r>
      <w:r>
        <w:rPr>
          <w:rFonts w:ascii="宋体" w:hAnsi="宋体"/>
          <w:sz w:val="24"/>
        </w:rPr>
        <w:t>70</w:t>
      </w:r>
      <w:r>
        <w:rPr>
          <w:rFonts w:ascii="宋体" w:hAnsi="宋体"/>
          <w:bCs/>
          <w:sz w:val="24"/>
        </w:rPr>
        <w:t>分，违约金</w:t>
      </w:r>
      <w:r>
        <w:rPr>
          <w:rFonts w:ascii="宋体" w:hAnsi="宋体"/>
          <w:sz w:val="24"/>
        </w:rPr>
        <w:t>5,000.00</w:t>
      </w:r>
      <w:r>
        <w:rPr>
          <w:rFonts w:ascii="宋体" w:hAnsi="宋体"/>
          <w:bCs/>
          <w:sz w:val="24"/>
        </w:rPr>
        <w:t>元</w:t>
      </w:r>
      <w:r>
        <w:rPr>
          <w:rFonts w:hint="eastAsia" w:ascii="宋体" w:hAnsi="宋体"/>
          <w:bCs/>
          <w:sz w:val="24"/>
        </w:rPr>
        <w:t>；</w:t>
      </w:r>
      <w:bookmarkEnd w:id="35"/>
    </w:p>
    <w:p>
      <w:pPr>
        <w:adjustRightInd w:val="0"/>
        <w:snapToGrid w:val="0"/>
        <w:spacing w:line="360" w:lineRule="auto"/>
        <w:ind w:firstLine="480" w:firstLineChars="200"/>
        <w:rPr>
          <w:rFonts w:ascii="宋体" w:hAnsi="宋体"/>
          <w:bCs/>
          <w:sz w:val="24"/>
        </w:rPr>
      </w:pPr>
      <w:r>
        <w:rPr>
          <w:rFonts w:hint="eastAsia" w:ascii="宋体" w:hAnsi="宋体"/>
          <w:bCs/>
          <w:sz w:val="24"/>
        </w:rPr>
        <w:t>（5）如出现一票否决情况，违约金为合同总价的20%。</w:t>
      </w:r>
    </w:p>
    <w:p>
      <w:pPr>
        <w:adjustRightInd w:val="0"/>
        <w:snapToGrid w:val="0"/>
        <w:spacing w:line="360" w:lineRule="auto"/>
        <w:ind w:firstLine="480" w:firstLineChars="200"/>
        <w:rPr>
          <w:rFonts w:ascii="宋体" w:hAnsi="宋体"/>
          <w:bCs/>
          <w:sz w:val="24"/>
        </w:rPr>
      </w:pPr>
      <w:bookmarkStart w:id="39" w:name="OLE_LINK27"/>
      <w:bookmarkStart w:id="40" w:name="OLE_LINK24"/>
      <w:bookmarkStart w:id="41" w:name="OLE_LINK23"/>
      <w:r>
        <w:rPr>
          <w:rFonts w:hint="eastAsia" w:ascii="宋体" w:hAnsi="宋体"/>
          <w:bCs/>
          <w:sz w:val="24"/>
        </w:rPr>
        <w:t>成交供应商</w:t>
      </w:r>
      <w:bookmarkEnd w:id="39"/>
      <w:bookmarkEnd w:id="40"/>
      <w:bookmarkEnd w:id="41"/>
      <w:r>
        <w:rPr>
          <w:rFonts w:ascii="宋体" w:hAnsi="宋体"/>
          <w:bCs/>
          <w:sz w:val="24"/>
        </w:rPr>
        <w:t>于</w:t>
      </w:r>
      <w:r>
        <w:rPr>
          <w:rFonts w:hint="eastAsia" w:ascii="宋体" w:hAnsi="宋体"/>
          <w:bCs/>
          <w:sz w:val="24"/>
        </w:rPr>
        <w:t>每季度考核完成后1</w:t>
      </w:r>
      <w:r>
        <w:rPr>
          <w:rFonts w:ascii="宋体" w:hAnsi="宋体"/>
          <w:bCs/>
          <w:sz w:val="24"/>
        </w:rPr>
        <w:t>0</w:t>
      </w:r>
      <w:r>
        <w:rPr>
          <w:rFonts w:hint="eastAsia" w:ascii="宋体" w:hAnsi="宋体"/>
          <w:bCs/>
          <w:sz w:val="24"/>
        </w:rPr>
        <w:t>个工作日内</w:t>
      </w:r>
      <w:r>
        <w:rPr>
          <w:rFonts w:ascii="宋体" w:hAnsi="宋体"/>
          <w:bCs/>
          <w:sz w:val="24"/>
        </w:rPr>
        <w:t>将上述违约金支付至</w:t>
      </w:r>
      <w:bookmarkStart w:id="42" w:name="OLE_LINK25"/>
      <w:bookmarkStart w:id="43" w:name="OLE_LINK26"/>
      <w:r>
        <w:rPr>
          <w:rFonts w:hint="eastAsia" w:ascii="宋体" w:hAnsi="宋体"/>
          <w:bCs/>
          <w:sz w:val="24"/>
        </w:rPr>
        <w:t>采购人</w:t>
      </w:r>
      <w:bookmarkEnd w:id="42"/>
      <w:bookmarkEnd w:id="43"/>
      <w:r>
        <w:rPr>
          <w:rFonts w:ascii="宋体" w:hAnsi="宋体"/>
          <w:bCs/>
          <w:sz w:val="24"/>
        </w:rPr>
        <w:t>指定账户</w:t>
      </w:r>
      <w:r>
        <w:rPr>
          <w:rFonts w:hint="eastAsia" w:ascii="宋体" w:hAnsi="宋体"/>
          <w:bCs/>
          <w:sz w:val="24"/>
        </w:rPr>
        <w:t>，若成交供应商未按时支付，采购人将在履约保证金中扣除相应费用</w:t>
      </w:r>
      <w:r>
        <w:rPr>
          <w:rFonts w:ascii="宋体" w:hAnsi="宋体"/>
          <w:bCs/>
          <w:sz w:val="24"/>
        </w:rPr>
        <w:t>。</w:t>
      </w:r>
    </w:p>
    <w:p>
      <w:pPr>
        <w:adjustRightInd w:val="0"/>
        <w:snapToGrid w:val="0"/>
        <w:spacing w:line="360" w:lineRule="auto"/>
        <w:ind w:firstLine="480" w:firstLineChars="200"/>
        <w:rPr>
          <w:rFonts w:ascii="宋体" w:hAnsi="宋体"/>
          <w:bCs/>
          <w:sz w:val="24"/>
        </w:rPr>
      </w:pPr>
      <w:r>
        <w:rPr>
          <w:rFonts w:ascii="宋体" w:hAnsi="宋体"/>
          <w:bCs/>
          <w:sz w:val="24"/>
        </w:rPr>
        <w:t>2.</w:t>
      </w:r>
      <w:r>
        <w:rPr>
          <w:rFonts w:ascii="宋体" w:hAnsi="宋体"/>
        </w:rPr>
        <w:t>★</w:t>
      </w:r>
      <w:r>
        <w:rPr>
          <w:rFonts w:hint="eastAsia" w:ascii="宋体" w:hAnsi="宋体"/>
          <w:bCs/>
          <w:sz w:val="24"/>
        </w:rPr>
        <w:t>成交供应商</w:t>
      </w:r>
      <w:r>
        <w:rPr>
          <w:rFonts w:ascii="宋体" w:hAnsi="宋体"/>
          <w:bCs/>
          <w:sz w:val="24"/>
        </w:rPr>
        <w:t>考核评分连续</w:t>
      </w:r>
      <w:r>
        <w:rPr>
          <w:rFonts w:hint="eastAsia" w:ascii="宋体" w:hAnsi="宋体"/>
          <w:bCs/>
          <w:sz w:val="24"/>
        </w:rPr>
        <w:t>两个季度</w:t>
      </w:r>
      <w:r>
        <w:rPr>
          <w:rFonts w:ascii="宋体" w:hAnsi="宋体"/>
          <w:bCs/>
          <w:sz w:val="24"/>
        </w:rPr>
        <w:t>总分均低于</w:t>
      </w:r>
      <w:r>
        <w:rPr>
          <w:rFonts w:ascii="宋体" w:hAnsi="宋体"/>
          <w:sz w:val="24"/>
        </w:rPr>
        <w:t>70</w:t>
      </w:r>
      <w:r>
        <w:rPr>
          <w:rFonts w:ascii="宋体" w:hAnsi="宋体"/>
          <w:bCs/>
          <w:sz w:val="24"/>
        </w:rPr>
        <w:t>分</w:t>
      </w:r>
      <w:r>
        <w:rPr>
          <w:rFonts w:hint="eastAsia" w:ascii="宋体" w:hAnsi="宋体"/>
          <w:bCs/>
          <w:sz w:val="24"/>
        </w:rPr>
        <w:t>的</w:t>
      </w:r>
      <w:r>
        <w:rPr>
          <w:rFonts w:ascii="宋体" w:hAnsi="宋体"/>
          <w:bCs/>
          <w:sz w:val="24"/>
        </w:rPr>
        <w:t>，</w:t>
      </w:r>
      <w:r>
        <w:rPr>
          <w:rFonts w:hint="eastAsia" w:ascii="宋体" w:hAnsi="宋体"/>
          <w:bCs/>
          <w:sz w:val="24"/>
        </w:rPr>
        <w:t>采购人</w:t>
      </w:r>
      <w:r>
        <w:rPr>
          <w:rFonts w:ascii="宋体" w:hAnsi="宋体"/>
          <w:bCs/>
          <w:sz w:val="24"/>
        </w:rPr>
        <w:t>有权</w:t>
      </w:r>
      <w:r>
        <w:rPr>
          <w:rFonts w:hint="eastAsia" w:ascii="宋体" w:hAnsi="宋体"/>
          <w:bCs/>
          <w:sz w:val="24"/>
        </w:rPr>
        <w:t>单方</w:t>
      </w:r>
      <w:r>
        <w:rPr>
          <w:rFonts w:ascii="宋体" w:hAnsi="宋体"/>
          <w:bCs/>
          <w:sz w:val="24"/>
        </w:rPr>
        <w:t>解除本协议，同时就协议已履行的部分进行清算和结算</w:t>
      </w:r>
      <w:r>
        <w:rPr>
          <w:rFonts w:hint="eastAsia" w:ascii="宋体" w:hAnsi="宋体"/>
          <w:bCs/>
          <w:sz w:val="24"/>
        </w:rPr>
        <w:t>，成交供应商应赔偿采购人因此产生的损失</w:t>
      </w:r>
      <w:r>
        <w:rPr>
          <w:rFonts w:ascii="宋体" w:hAnsi="宋体"/>
          <w:bCs/>
          <w:sz w:val="24"/>
        </w:rPr>
        <w:t>。</w:t>
      </w:r>
    </w:p>
    <w:p>
      <w:pPr>
        <w:adjustRightInd w:val="0"/>
        <w:snapToGrid w:val="0"/>
        <w:spacing w:line="360" w:lineRule="auto"/>
        <w:ind w:firstLine="480" w:firstLineChars="200"/>
        <w:rPr>
          <w:rFonts w:ascii="宋体" w:hAnsi="宋体"/>
          <w:bCs/>
          <w:sz w:val="24"/>
        </w:rPr>
      </w:pPr>
      <w:r>
        <w:rPr>
          <w:rFonts w:hint="eastAsia" w:ascii="宋体" w:hAnsi="宋体"/>
          <w:bCs/>
          <w:sz w:val="24"/>
        </w:rPr>
        <w:t>十</w:t>
      </w:r>
      <w:r>
        <w:rPr>
          <w:rFonts w:hint="eastAsia" w:ascii="宋体" w:hAnsi="宋体"/>
          <w:bCs/>
          <w:sz w:val="24"/>
          <w:lang w:val="en-US" w:eastAsia="zh-CN"/>
        </w:rPr>
        <w:t>一</w:t>
      </w:r>
      <w:r>
        <w:rPr>
          <w:rFonts w:hint="eastAsia" w:ascii="宋体" w:hAnsi="宋体"/>
          <w:bCs/>
          <w:sz w:val="24"/>
        </w:rPr>
        <w:t>、报价说明</w:t>
      </w:r>
    </w:p>
    <w:p>
      <w:pPr>
        <w:adjustRightInd w:val="0"/>
        <w:snapToGrid w:val="0"/>
        <w:spacing w:line="360" w:lineRule="auto"/>
        <w:ind w:firstLine="480" w:firstLineChars="200"/>
        <w:rPr>
          <w:rFonts w:ascii="宋体" w:hAnsi="宋体"/>
          <w:bCs/>
          <w:sz w:val="24"/>
        </w:rPr>
      </w:pPr>
      <w:r>
        <w:rPr>
          <w:rFonts w:hint="eastAsia" w:ascii="宋体" w:hAnsi="宋体"/>
          <w:bCs/>
          <w:sz w:val="24"/>
        </w:rPr>
        <w:t>供应商需对可回收物单价报上浮率，报价范围为≥100%；对置换物资单价报折扣率，报价范围为0-100%。同时，需按《可回收物主要种类表》及《置换物资清单》逐项报出单价。</w:t>
      </w:r>
    </w:p>
    <w:p>
      <w:pPr>
        <w:adjustRightInd w:val="0"/>
        <w:snapToGrid w:val="0"/>
        <w:spacing w:line="360" w:lineRule="auto"/>
        <w:ind w:firstLine="480" w:firstLineChars="200"/>
        <w:rPr>
          <w:rFonts w:ascii="宋体" w:hAnsi="宋体"/>
          <w:bCs/>
          <w:sz w:val="24"/>
        </w:rPr>
      </w:pPr>
    </w:p>
    <w:p>
      <w:pPr>
        <w:adjustRightInd w:val="0"/>
        <w:snapToGrid w:val="0"/>
        <w:spacing w:line="360" w:lineRule="auto"/>
        <w:ind w:firstLine="480" w:firstLineChars="200"/>
        <w:rPr>
          <w:rFonts w:ascii="宋体" w:hAnsi="宋体"/>
          <w:sz w:val="24"/>
        </w:rPr>
        <w:sectPr>
          <w:pgSz w:w="11906" w:h="16838"/>
          <w:pgMar w:top="1440" w:right="1800" w:bottom="1440" w:left="1800" w:header="851" w:footer="992" w:gutter="0"/>
          <w:cols w:space="720" w:num="1"/>
          <w:docGrid w:type="lines" w:linePitch="312" w:charSpace="0"/>
        </w:sectPr>
      </w:pPr>
    </w:p>
    <w:p>
      <w:pPr>
        <w:widowControl/>
        <w:rPr>
          <w:rFonts w:ascii="宋体" w:hAnsi="宋体" w:cs="仿宋"/>
          <w:b/>
          <w:sz w:val="28"/>
          <w:szCs w:val="28"/>
        </w:rPr>
      </w:pPr>
      <w:bookmarkStart w:id="44" w:name="OLE_LINK28"/>
      <w:r>
        <w:rPr>
          <w:rFonts w:hint="eastAsia" w:ascii="宋体" w:hAnsi="宋体" w:cs="仿宋"/>
          <w:b/>
          <w:sz w:val="28"/>
          <w:szCs w:val="28"/>
        </w:rPr>
        <w:t>附件：</w:t>
      </w:r>
    </w:p>
    <w:p>
      <w:pPr>
        <w:widowControl/>
        <w:jc w:val="center"/>
        <w:rPr>
          <w:rFonts w:ascii="宋体" w:hAnsi="宋体" w:cs="仿宋"/>
          <w:b/>
          <w:sz w:val="28"/>
          <w:szCs w:val="28"/>
        </w:rPr>
      </w:pPr>
      <w:r>
        <w:rPr>
          <w:rFonts w:hint="eastAsia" w:ascii="宋体" w:hAnsi="宋体" w:cs="仿宋"/>
          <w:b/>
          <w:sz w:val="28"/>
          <w:szCs w:val="28"/>
        </w:rPr>
        <w:t>广州医科大学附属番禺中心医院医疗集团可回收物服务季度考核评分表</w:t>
      </w:r>
    </w:p>
    <w:p>
      <w:pPr>
        <w:widowControl/>
        <w:rPr>
          <w:rStyle w:val="136"/>
          <w:rFonts w:hint="default" w:cs="仿宋"/>
          <w:color w:val="auto"/>
          <w:sz w:val="21"/>
          <w:szCs w:val="21"/>
        </w:rPr>
      </w:pPr>
    </w:p>
    <w:tbl>
      <w:tblPr>
        <w:tblStyle w:val="3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28"/>
        <w:gridCol w:w="752"/>
        <w:gridCol w:w="3178"/>
        <w:gridCol w:w="1674"/>
        <w:gridCol w:w="532"/>
        <w:gridCol w:w="1413"/>
        <w:gridCol w:w="54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5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序号</w:t>
            </w:r>
          </w:p>
        </w:tc>
        <w:tc>
          <w:tcPr>
            <w:tcW w:w="44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考核内容</w:t>
            </w:r>
          </w:p>
        </w:tc>
        <w:tc>
          <w:tcPr>
            <w:tcW w:w="2856" w:type="pct"/>
            <w:gridSpan w:val="2"/>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扣罚细则</w:t>
            </w:r>
          </w:p>
        </w:tc>
        <w:tc>
          <w:tcPr>
            <w:tcW w:w="285"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分值</w:t>
            </w:r>
          </w:p>
        </w:tc>
        <w:tc>
          <w:tcPr>
            <w:tcW w:w="833" w:type="pct"/>
            <w:tcBorders>
              <w:top w:val="single" w:color="000000" w:sz="6" w:space="0"/>
              <w:left w:val="single" w:color="000000" w:sz="6" w:space="0"/>
              <w:bottom w:val="single" w:color="000000" w:sz="6" w:space="0"/>
              <w:right w:val="single" w:color="000000" w:sz="6" w:space="0"/>
            </w:tcBorders>
          </w:tcPr>
          <w:p>
            <w:pPr>
              <w:keepNext w:val="0"/>
              <w:keepLines w:val="0"/>
              <w:suppressLineNumbers w:val="0"/>
              <w:spacing w:before="0" w:beforeAutospacing="0" w:after="0" w:afterAutospacing="0" w:line="360" w:lineRule="auto"/>
              <w:ind w:left="0" w:right="0"/>
              <w:jc w:val="center"/>
              <w:rPr>
                <w:rStyle w:val="136"/>
                <w:rFonts w:hint="default"/>
                <w:sz w:val="21"/>
                <w:szCs w:val="21"/>
              </w:rPr>
            </w:pPr>
            <w:r>
              <w:rPr>
                <w:rStyle w:val="136"/>
                <w:rFonts w:hint="default"/>
                <w:sz w:val="21"/>
                <w:szCs w:val="21"/>
              </w:rPr>
              <w:t>发现问题</w:t>
            </w:r>
          </w:p>
        </w:tc>
        <w:tc>
          <w:tcPr>
            <w:tcW w:w="324"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得分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25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w:t>
            </w:r>
          </w:p>
        </w:tc>
        <w:tc>
          <w:tcPr>
            <w:tcW w:w="44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一票否决</w:t>
            </w:r>
          </w:p>
        </w:tc>
        <w:tc>
          <w:tcPr>
            <w:tcW w:w="2856" w:type="pct"/>
            <w:gridSpan w:val="2"/>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出现以下其中一种情况的，当季考核分数评为不合格，采购人有权解除合同，成交供应商须向采购人支付合同总价20%作为违约金，并赔偿采购人因此产生的全部损失：</w:t>
            </w:r>
          </w:p>
          <w:p>
            <w:pPr>
              <w:keepNext w:val="0"/>
              <w:keepLines w:val="0"/>
              <w:numPr>
                <w:ilvl w:val="0"/>
                <w:numId w:val="9"/>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营业执照、固定污染源排污登记表/排污许可证等证照不齐全或不在有效期内。</w:t>
            </w:r>
          </w:p>
          <w:p>
            <w:pPr>
              <w:keepNext w:val="0"/>
              <w:keepLines w:val="0"/>
              <w:numPr>
                <w:ilvl w:val="0"/>
                <w:numId w:val="9"/>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eastAsia" w:ascii="宋体" w:hAnsi="宋体" w:eastAsia="宋体"/>
                <w:sz w:val="21"/>
                <w:szCs w:val="21"/>
              </w:rPr>
              <w:t>连续</w:t>
            </w:r>
            <w:r>
              <w:rPr>
                <w:rStyle w:val="155"/>
                <w:rFonts w:hint="default" w:ascii="宋体" w:hAnsi="宋体" w:eastAsia="宋体"/>
                <w:sz w:val="21"/>
                <w:szCs w:val="21"/>
              </w:rPr>
              <w:t>3</w:t>
            </w:r>
            <w:r>
              <w:rPr>
                <w:rStyle w:val="155"/>
                <w:rFonts w:hint="eastAsia" w:ascii="宋体" w:hAnsi="宋体" w:eastAsia="宋体"/>
                <w:sz w:val="21"/>
                <w:szCs w:val="21"/>
              </w:rPr>
              <w:t>次</w:t>
            </w:r>
            <w:r>
              <w:rPr>
                <w:rStyle w:val="155"/>
                <w:rFonts w:hint="default" w:ascii="宋体" w:hAnsi="宋体" w:eastAsia="宋体"/>
                <w:sz w:val="21"/>
                <w:szCs w:val="21"/>
              </w:rPr>
              <w:t>未按采购人需求提供货物，或连续3次</w:t>
            </w:r>
            <w:r>
              <w:rPr>
                <w:rStyle w:val="155"/>
                <w:rFonts w:hint="eastAsia" w:ascii="宋体" w:hAnsi="宋体" w:eastAsia="宋体"/>
                <w:sz w:val="21"/>
                <w:szCs w:val="21"/>
              </w:rPr>
              <w:t>验收发现</w:t>
            </w:r>
            <w:r>
              <w:rPr>
                <w:rStyle w:val="155"/>
                <w:rFonts w:hint="default" w:ascii="宋体" w:hAnsi="宋体" w:eastAsia="宋体"/>
                <w:sz w:val="21"/>
                <w:szCs w:val="21"/>
              </w:rPr>
              <w:t xml:space="preserve">置换物资不符合合同约定。 </w:t>
            </w:r>
          </w:p>
          <w:p>
            <w:pPr>
              <w:keepNext w:val="0"/>
              <w:keepLines w:val="0"/>
              <w:numPr>
                <w:ilvl w:val="0"/>
                <w:numId w:val="9"/>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回收废处方纸时，未按要求在院内破碎废处方纸便外运的。</w:t>
            </w:r>
          </w:p>
        </w:tc>
        <w:tc>
          <w:tcPr>
            <w:tcW w:w="285"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w:t>
            </w:r>
          </w:p>
        </w:tc>
        <w:tc>
          <w:tcPr>
            <w:tcW w:w="83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6" w:type="pct"/>
            <w:tcBorders>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2</w:t>
            </w:r>
          </w:p>
        </w:tc>
        <w:tc>
          <w:tcPr>
            <w:tcW w:w="44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服务人员</w:t>
            </w:r>
          </w:p>
        </w:tc>
        <w:tc>
          <w:tcPr>
            <w:tcW w:w="2856" w:type="pct"/>
            <w:gridSpan w:val="2"/>
            <w:tcBorders>
              <w:top w:val="single" w:color="000000" w:sz="6" w:space="0"/>
              <w:left w:val="single" w:color="000000" w:sz="6" w:space="0"/>
              <w:right w:val="single" w:color="000000" w:sz="6" w:space="0"/>
            </w:tcBorders>
            <w:vAlign w:val="center"/>
          </w:tcPr>
          <w:p>
            <w:pPr>
              <w:keepNext w:val="0"/>
              <w:keepLines w:val="0"/>
              <w:numPr>
                <w:ilvl w:val="0"/>
                <w:numId w:val="10"/>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服务人员未穿着工作服并佩戴工作牌的，扣2.5分/次。</w:t>
            </w:r>
          </w:p>
          <w:p>
            <w:pPr>
              <w:keepNext w:val="0"/>
              <w:keepLines w:val="0"/>
              <w:numPr>
                <w:ilvl w:val="0"/>
                <w:numId w:val="10"/>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管理人员、服务人员态度差的，扣5分/次。</w:t>
            </w:r>
          </w:p>
          <w:p>
            <w:pPr>
              <w:keepNext w:val="0"/>
              <w:keepLines w:val="0"/>
              <w:numPr>
                <w:ilvl w:val="0"/>
                <w:numId w:val="10"/>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10</w:t>
            </w:r>
          </w:p>
        </w:tc>
        <w:tc>
          <w:tcPr>
            <w:tcW w:w="83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5" w:hRule="atLeast"/>
        </w:trPr>
        <w:tc>
          <w:tcPr>
            <w:tcW w:w="25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3</w:t>
            </w:r>
          </w:p>
        </w:tc>
        <w:tc>
          <w:tcPr>
            <w:tcW w:w="44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服务质量</w:t>
            </w:r>
          </w:p>
        </w:tc>
        <w:tc>
          <w:tcPr>
            <w:tcW w:w="2856" w:type="pct"/>
            <w:gridSpan w:val="2"/>
            <w:tcBorders>
              <w:top w:val="single" w:color="000000" w:sz="6" w:space="0"/>
              <w:left w:val="single" w:color="000000" w:sz="6" w:space="0"/>
              <w:right w:val="single" w:color="000000" w:sz="6" w:space="0"/>
            </w:tcBorders>
            <w:vAlign w:val="center"/>
          </w:tcPr>
          <w:p>
            <w:pPr>
              <w:keepNext w:val="0"/>
              <w:keepLines w:val="0"/>
              <w:numPr>
                <w:ilvl w:val="0"/>
                <w:numId w:val="11"/>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未按规定品类回收，或出现拒收合规品类现象的，扣3分/次。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回收过程中未严格按照操作规范分类、称重、计价的，扣2分/次。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回收场地分类区域不清晰，或乱堆乱放的，扣2分/次。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回收完毕后未及时清理回收场地，扣2分/次。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回收过程产生污水、废气或噪声污染的，扣3分/次。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作业时损坏采购人损坏采购人物业、设施设备如电梯、门、柱、墙、工具、集水井水泵、水管等的，扣3分/次。</w:t>
            </w:r>
          </w:p>
          <w:p>
            <w:pPr>
              <w:keepNext w:val="0"/>
              <w:keepLines w:val="0"/>
              <w:numPr>
                <w:ilvl w:val="0"/>
                <w:numId w:val="11"/>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未按频次要求到广州医科大学附属番禺中心医院及</w:t>
            </w:r>
            <w:bookmarkStart w:id="45" w:name="OLE_LINK46"/>
            <w:r>
              <w:rPr>
                <w:rStyle w:val="155"/>
                <w:rFonts w:hint="default" w:ascii="宋体" w:hAnsi="宋体" w:eastAsia="宋体"/>
                <w:sz w:val="21"/>
                <w:szCs w:val="21"/>
              </w:rPr>
              <w:t>广州市番禺区第七人民医院</w:t>
            </w:r>
            <w:bookmarkEnd w:id="45"/>
            <w:r>
              <w:rPr>
                <w:rStyle w:val="155"/>
                <w:rFonts w:hint="default" w:ascii="宋体" w:hAnsi="宋体" w:eastAsia="宋体"/>
                <w:sz w:val="21"/>
                <w:szCs w:val="21"/>
              </w:rPr>
              <w:t>收运的或配送置换物资的，扣3分/次。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未按采购人要求配送置换物资到广州医科大学附属番禺中心医院及广州市番禺区第七人民医院指定区域的，扣3分/次。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接到服务需求后未在约定时间内响应并及时提供服务的，扣5分/次。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回收过程中不服从现场管理的，扣2分/次。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未及时处理投诉，投诉处理响应时间＞24小时或处理完结率＜100%的，扣2分/次。</w:t>
            </w:r>
          </w:p>
          <w:p>
            <w:pPr>
              <w:keepNext w:val="0"/>
              <w:keepLines w:val="0"/>
              <w:numPr>
                <w:ilvl w:val="0"/>
                <w:numId w:val="11"/>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70</w:t>
            </w:r>
          </w:p>
        </w:tc>
        <w:tc>
          <w:tcPr>
            <w:tcW w:w="83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4</w:t>
            </w:r>
          </w:p>
        </w:tc>
        <w:tc>
          <w:tcPr>
            <w:tcW w:w="44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安全生产</w:t>
            </w:r>
          </w:p>
        </w:tc>
        <w:tc>
          <w:tcPr>
            <w:tcW w:w="2856" w:type="pct"/>
            <w:gridSpan w:val="2"/>
            <w:tcBorders>
              <w:top w:val="single" w:color="000000" w:sz="6" w:space="0"/>
              <w:left w:val="single" w:color="000000" w:sz="6" w:space="0"/>
              <w:bottom w:val="single" w:color="auto" w:sz="4" w:space="0"/>
              <w:right w:val="single" w:color="000000" w:sz="6" w:space="0"/>
            </w:tcBorders>
            <w:vAlign w:val="center"/>
          </w:tcPr>
          <w:p>
            <w:pPr>
              <w:keepNext w:val="0"/>
              <w:keepLines w:val="0"/>
              <w:numPr>
                <w:ilvl w:val="0"/>
                <w:numId w:val="12"/>
              </w:numPr>
              <w:suppressLineNumbers w:val="0"/>
              <w:spacing w:before="0" w:beforeAutospacing="0" w:after="0" w:afterAutospacing="0" w:line="360" w:lineRule="auto"/>
              <w:ind w:right="0"/>
              <w:rPr>
                <w:rStyle w:val="155"/>
                <w:rFonts w:hint="default" w:ascii="宋体" w:hAnsi="宋体" w:eastAsia="宋体"/>
                <w:sz w:val="21"/>
                <w:szCs w:val="21"/>
              </w:rPr>
            </w:pPr>
            <w:r>
              <w:rPr>
                <w:rStyle w:val="155"/>
                <w:rFonts w:hint="default" w:ascii="宋体" w:hAnsi="宋体" w:eastAsia="宋体"/>
                <w:sz w:val="21"/>
                <w:szCs w:val="21"/>
              </w:rPr>
              <w:t>作业时未按规范做好安全措施的，扣10分/次。</w:t>
            </w:r>
          </w:p>
          <w:p>
            <w:pPr>
              <w:keepNext w:val="0"/>
              <w:keepLines w:val="0"/>
              <w:numPr>
                <w:ilvl w:val="0"/>
                <w:numId w:val="12"/>
              </w:numPr>
              <w:suppressLineNumbers w:val="0"/>
              <w:spacing w:before="0" w:beforeAutospacing="0" w:after="0" w:afterAutospacing="0" w:line="360" w:lineRule="auto"/>
              <w:ind w:right="0"/>
              <w:rPr>
                <w:rFonts w:hint="default"/>
              </w:rPr>
            </w:pPr>
            <w:r>
              <w:rPr>
                <w:rStyle w:val="155"/>
                <w:rFonts w:hint="default" w:ascii="宋体" w:hAnsi="宋体" w:eastAsia="宋体"/>
                <w:sz w:val="21"/>
                <w:szCs w:val="21"/>
              </w:rPr>
              <w:t>回收过程中出现安全事故、火情或其他不良事件的，扣10分/次。</w:t>
            </w:r>
          </w:p>
        </w:tc>
        <w:tc>
          <w:tcPr>
            <w:tcW w:w="285"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20</w:t>
            </w:r>
          </w:p>
        </w:tc>
        <w:tc>
          <w:tcPr>
            <w:tcW w:w="833" w:type="pct"/>
            <w:tcBorders>
              <w:bottom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bottom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558" w:type="pct"/>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总分</w:t>
            </w:r>
          </w:p>
        </w:tc>
        <w:tc>
          <w:tcPr>
            <w:tcW w:w="28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100</w:t>
            </w:r>
          </w:p>
        </w:tc>
        <w:tc>
          <w:tcPr>
            <w:tcW w:w="8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000" w:type="pct"/>
            <w:gridSpan w:val="7"/>
            <w:tcBorders>
              <w:top w:val="single" w:color="auto" w:sz="4" w:space="0"/>
              <w:left w:val="nil"/>
              <w:bottom w:val="nil"/>
              <w:right w:val="nil"/>
            </w:tcBorders>
            <w:vAlign w:val="center"/>
          </w:tcPr>
          <w:p>
            <w:pPr>
              <w:keepNext w:val="0"/>
              <w:keepLines w:val="0"/>
              <w:widowControl/>
              <w:suppressLineNumbers w:val="0"/>
              <w:adjustRightInd w:val="0"/>
              <w:snapToGrid w:val="0"/>
              <w:spacing w:before="0" w:beforeAutospacing="0" w:after="0" w:afterAutospacing="0" w:line="360" w:lineRule="auto"/>
              <w:ind w:left="0" w:right="0"/>
              <w:jc w:val="left"/>
              <w:rPr>
                <w:rFonts w:hint="default" w:ascii="宋体" w:hAnsi="宋体"/>
                <w:bCs/>
                <w:szCs w:val="21"/>
              </w:rPr>
            </w:pPr>
            <w:r>
              <w:rPr>
                <w:rFonts w:hint="eastAsia" w:ascii="宋体" w:hAnsi="宋体"/>
                <w:bCs/>
                <w:szCs w:val="21"/>
              </w:rPr>
              <w:t>说明：成交供应商季度</w:t>
            </w:r>
            <w:r>
              <w:rPr>
                <w:rFonts w:hint="default" w:ascii="宋体" w:hAnsi="宋体"/>
                <w:bCs/>
                <w:szCs w:val="21"/>
              </w:rPr>
              <w:t>考核</w:t>
            </w:r>
            <w:r>
              <w:rPr>
                <w:rFonts w:hint="eastAsia" w:ascii="宋体" w:hAnsi="宋体"/>
                <w:bCs/>
                <w:szCs w:val="21"/>
              </w:rPr>
              <w:t>分数不合格的</w:t>
            </w:r>
            <w:r>
              <w:rPr>
                <w:rFonts w:hint="default" w:ascii="宋体" w:hAnsi="宋体"/>
                <w:bCs/>
                <w:szCs w:val="21"/>
              </w:rPr>
              <w:t>，视为违约，须向</w:t>
            </w:r>
            <w:r>
              <w:rPr>
                <w:rFonts w:hint="eastAsia" w:ascii="宋体" w:hAnsi="宋体"/>
                <w:bCs/>
                <w:szCs w:val="21"/>
              </w:rPr>
              <w:t>采购人</w:t>
            </w:r>
            <w:r>
              <w:rPr>
                <w:rFonts w:hint="default" w:ascii="宋体" w:hAnsi="宋体"/>
                <w:bCs/>
                <w:szCs w:val="21"/>
              </w:rPr>
              <w:t>支付违约金</w:t>
            </w:r>
            <w:r>
              <w:rPr>
                <w:rFonts w:hint="eastAsia" w:ascii="宋体" w:hAnsi="宋体"/>
                <w:bCs/>
                <w:szCs w:val="21"/>
              </w:rPr>
              <w:t>：</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default" w:ascii="宋体" w:hAnsi="宋体"/>
                <w:bCs/>
                <w:szCs w:val="21"/>
              </w:rPr>
              <w:t>（</w:t>
            </w:r>
            <w:r>
              <w:rPr>
                <w:rFonts w:hint="default" w:ascii="宋体" w:hAnsi="宋体"/>
                <w:szCs w:val="21"/>
              </w:rPr>
              <w:t>1</w:t>
            </w:r>
            <w:r>
              <w:rPr>
                <w:rFonts w:hint="default" w:ascii="宋体" w:hAnsi="宋体"/>
                <w:bCs/>
                <w:szCs w:val="21"/>
              </w:rPr>
              <w:t>）</w:t>
            </w:r>
            <w:r>
              <w:rPr>
                <w:rFonts w:hint="eastAsia" w:ascii="宋体" w:hAnsi="宋体"/>
                <w:bCs/>
                <w:szCs w:val="21"/>
              </w:rPr>
              <w:t>总分1</w:t>
            </w:r>
            <w:r>
              <w:rPr>
                <w:rFonts w:hint="default" w:ascii="宋体" w:hAnsi="宋体"/>
                <w:bCs/>
                <w:szCs w:val="21"/>
              </w:rPr>
              <w:t>00</w:t>
            </w:r>
            <w:r>
              <w:rPr>
                <w:rFonts w:hint="eastAsia" w:ascii="宋体" w:hAnsi="宋体"/>
                <w:bCs/>
                <w:szCs w:val="21"/>
              </w:rPr>
              <w:t>分，得分≥9</w:t>
            </w:r>
            <w:r>
              <w:rPr>
                <w:rFonts w:hint="default" w:ascii="宋体" w:hAnsi="宋体"/>
                <w:bCs/>
                <w:szCs w:val="21"/>
              </w:rPr>
              <w:t>0</w:t>
            </w:r>
            <w:r>
              <w:rPr>
                <w:rFonts w:hint="eastAsia" w:ascii="宋体" w:hAnsi="宋体"/>
                <w:bCs/>
                <w:szCs w:val="21"/>
              </w:rPr>
              <w:t>分为合格；</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default" w:ascii="宋体" w:hAnsi="宋体"/>
                <w:bCs/>
                <w:szCs w:val="21"/>
              </w:rPr>
              <w:t>（</w:t>
            </w:r>
            <w:r>
              <w:rPr>
                <w:rFonts w:hint="default" w:ascii="宋体" w:hAnsi="宋体"/>
                <w:szCs w:val="21"/>
              </w:rPr>
              <w:t>2</w:t>
            </w:r>
            <w:r>
              <w:rPr>
                <w:rFonts w:hint="default" w:ascii="宋体" w:hAnsi="宋体"/>
                <w:bCs/>
                <w:szCs w:val="21"/>
              </w:rPr>
              <w:t>）</w:t>
            </w:r>
            <w:r>
              <w:rPr>
                <w:rFonts w:hint="default" w:ascii="宋体" w:hAnsi="宋体"/>
                <w:szCs w:val="21"/>
              </w:rPr>
              <w:t xml:space="preserve">90 </w:t>
            </w:r>
            <w:r>
              <w:rPr>
                <w:rFonts w:hint="default" w:ascii="宋体" w:hAnsi="宋体"/>
                <w:bCs/>
                <w:szCs w:val="21"/>
              </w:rPr>
              <w:t>分＞</w:t>
            </w:r>
            <w:r>
              <w:rPr>
                <w:rFonts w:hint="eastAsia" w:ascii="宋体" w:hAnsi="宋体"/>
                <w:bCs/>
                <w:szCs w:val="21"/>
              </w:rPr>
              <w:t>得分</w:t>
            </w:r>
            <w:r>
              <w:rPr>
                <w:rFonts w:hint="default" w:ascii="宋体" w:hAnsi="宋体"/>
                <w:szCs w:val="21"/>
              </w:rPr>
              <w:t>≥80</w:t>
            </w:r>
            <w:r>
              <w:rPr>
                <w:rFonts w:hint="default" w:ascii="宋体" w:hAnsi="宋体"/>
                <w:bCs/>
                <w:szCs w:val="21"/>
              </w:rPr>
              <w:t>分，违约金</w:t>
            </w:r>
            <w:r>
              <w:rPr>
                <w:rFonts w:hint="default" w:ascii="宋体" w:hAnsi="宋体"/>
                <w:szCs w:val="21"/>
              </w:rPr>
              <w:t>1,000.00</w:t>
            </w:r>
            <w:r>
              <w:rPr>
                <w:rFonts w:hint="default" w:ascii="宋体" w:hAnsi="宋体"/>
                <w:bCs/>
                <w:szCs w:val="21"/>
              </w:rPr>
              <w:t>元；</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default" w:ascii="宋体" w:hAnsi="宋体"/>
                <w:bCs/>
                <w:szCs w:val="21"/>
              </w:rPr>
              <w:t>（</w:t>
            </w:r>
            <w:r>
              <w:rPr>
                <w:rFonts w:hint="default" w:ascii="宋体" w:hAnsi="宋体"/>
                <w:szCs w:val="21"/>
              </w:rPr>
              <w:t>3</w:t>
            </w:r>
            <w:r>
              <w:rPr>
                <w:rFonts w:hint="default" w:ascii="宋体" w:hAnsi="宋体"/>
                <w:bCs/>
                <w:szCs w:val="21"/>
              </w:rPr>
              <w:t>）</w:t>
            </w:r>
            <w:r>
              <w:rPr>
                <w:rFonts w:hint="default" w:ascii="宋体" w:hAnsi="宋体"/>
                <w:szCs w:val="21"/>
              </w:rPr>
              <w:t xml:space="preserve">80 </w:t>
            </w:r>
            <w:r>
              <w:rPr>
                <w:rFonts w:hint="default" w:ascii="宋体" w:hAnsi="宋体"/>
                <w:bCs/>
                <w:szCs w:val="21"/>
              </w:rPr>
              <w:t>分＞</w:t>
            </w:r>
            <w:r>
              <w:rPr>
                <w:rFonts w:hint="eastAsia" w:ascii="宋体" w:hAnsi="宋体"/>
                <w:bCs/>
                <w:szCs w:val="21"/>
              </w:rPr>
              <w:t>得分</w:t>
            </w:r>
            <w:r>
              <w:rPr>
                <w:rFonts w:hint="default" w:ascii="宋体" w:hAnsi="宋体"/>
                <w:szCs w:val="21"/>
              </w:rPr>
              <w:t>≥70</w:t>
            </w:r>
            <w:r>
              <w:rPr>
                <w:rFonts w:hint="default" w:ascii="宋体" w:hAnsi="宋体"/>
                <w:bCs/>
                <w:szCs w:val="21"/>
              </w:rPr>
              <w:t>分，违约金</w:t>
            </w:r>
            <w:r>
              <w:rPr>
                <w:rFonts w:hint="default" w:ascii="宋体" w:hAnsi="宋体"/>
                <w:szCs w:val="21"/>
              </w:rPr>
              <w:t>3,000.00</w:t>
            </w:r>
            <w:r>
              <w:rPr>
                <w:rFonts w:hint="default" w:ascii="宋体" w:hAnsi="宋体"/>
                <w:bCs/>
                <w:szCs w:val="21"/>
              </w:rPr>
              <w:t>元；</w:t>
            </w:r>
          </w:p>
          <w:p>
            <w:pPr>
              <w:keepNext w:val="0"/>
              <w:keepLines w:val="0"/>
              <w:suppressLineNumbers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（4）得分</w:t>
            </w:r>
            <w:r>
              <w:rPr>
                <w:rFonts w:hint="default" w:ascii="宋体" w:hAnsi="宋体"/>
                <w:bCs/>
                <w:szCs w:val="21"/>
              </w:rPr>
              <w:t>＜</w:t>
            </w:r>
            <w:r>
              <w:rPr>
                <w:rFonts w:hint="default" w:ascii="宋体" w:hAnsi="宋体"/>
                <w:szCs w:val="21"/>
              </w:rPr>
              <w:t>70</w:t>
            </w:r>
            <w:r>
              <w:rPr>
                <w:rFonts w:hint="default" w:ascii="宋体" w:hAnsi="宋体"/>
                <w:bCs/>
                <w:szCs w:val="21"/>
              </w:rPr>
              <w:t>分，违约金</w:t>
            </w:r>
            <w:r>
              <w:rPr>
                <w:rFonts w:hint="default" w:ascii="宋体" w:hAnsi="宋体"/>
                <w:szCs w:val="21"/>
              </w:rPr>
              <w:t>5,000.00</w:t>
            </w:r>
            <w:r>
              <w:rPr>
                <w:rFonts w:hint="default" w:ascii="宋体" w:hAnsi="宋体"/>
                <w:bCs/>
                <w:szCs w:val="21"/>
              </w:rPr>
              <w:t>元</w:t>
            </w:r>
            <w:r>
              <w:rPr>
                <w:rFonts w:hint="eastAsia" w:ascii="宋体" w:hAnsi="宋体"/>
                <w:bCs/>
                <w:szCs w:val="21"/>
              </w:rPr>
              <w:t>；</w:t>
            </w:r>
          </w:p>
          <w:p>
            <w:pPr>
              <w:keepNext w:val="0"/>
              <w:keepLines w:val="0"/>
              <w:suppressLineNumbers w:val="0"/>
              <w:spacing w:before="0" w:beforeAutospacing="0" w:after="0" w:afterAutospacing="0" w:line="360" w:lineRule="auto"/>
              <w:ind w:left="0" w:right="0" w:firstLine="1050" w:firstLineChars="500"/>
              <w:rPr>
                <w:rFonts w:hint="default" w:ascii="宋体" w:hAnsi="宋体"/>
                <w:szCs w:val="21"/>
              </w:rPr>
            </w:pPr>
            <w:r>
              <w:rPr>
                <w:rFonts w:hint="eastAsia" w:ascii="宋体" w:hAnsi="宋体"/>
                <w:szCs w:val="21"/>
              </w:rPr>
              <w:t>（5）如出现一票否决情况，违约金为合同总价的20%。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考核人签名：</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被考核单位确认（签名并加盖公章）：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考核日期：</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确认日期：</w:t>
            </w:r>
          </w:p>
        </w:tc>
      </w:tr>
      <w:bookmarkEnd w:id="44"/>
    </w:tbl>
    <w:p>
      <w:pPr>
        <w:adjustRightInd w:val="0"/>
        <w:snapToGrid w:val="0"/>
        <w:spacing w:line="360" w:lineRule="auto"/>
        <w:rPr>
          <w:rFonts w:ascii="宋体" w:hAnsi="宋体"/>
          <w:sz w:val="24"/>
        </w:rPr>
      </w:pPr>
    </w:p>
    <w:p>
      <w:pPr>
        <w:spacing w:line="312" w:lineRule="auto"/>
        <w:ind w:left="1320" w:firstLine="1762" w:firstLineChars="550"/>
        <w:outlineLvl w:val="0"/>
        <w:rPr>
          <w:rFonts w:asciiTheme="minorEastAsia" w:hAnsiTheme="minorEastAsia" w:eastAsiaTheme="minorEastAsia"/>
          <w:b/>
          <w:sz w:val="32"/>
        </w:rPr>
      </w:pPr>
      <w:r>
        <w:rPr>
          <w:rFonts w:hint="eastAsia" w:asciiTheme="minorEastAsia" w:hAnsiTheme="minorEastAsia" w:eastAsiaTheme="minorEastAsia"/>
          <w:b/>
          <w:sz w:val="32"/>
        </w:rPr>
        <w:br w:type="page"/>
      </w:r>
      <w:r>
        <w:rPr>
          <w:rFonts w:hint="eastAsia" w:asciiTheme="minorEastAsia" w:hAnsiTheme="minorEastAsia" w:eastAsiaTheme="minorEastAsia"/>
          <w:b/>
          <w:sz w:val="32"/>
        </w:rPr>
        <w:t>第四部分  评审办法</w:t>
      </w:r>
    </w:p>
    <w:p>
      <w:pPr>
        <w:pStyle w:val="5"/>
      </w:pPr>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、本项目评审方法</w:t>
      </w:r>
      <w:bookmarkStart w:id="46" w:name="_Hlk51102721"/>
      <w:r>
        <w:rPr>
          <w:rFonts w:hint="eastAsia" w:asciiTheme="minorEastAsia" w:hAnsiTheme="minorEastAsia" w:eastAsiaTheme="minorEastAsia"/>
          <w:sz w:val="24"/>
        </w:rPr>
        <w:t>采用综合评分法，以百分制打分法对合格响应文件进行综合评审打分。</w:t>
      </w:r>
      <w:bookmarkEnd w:id="46"/>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、评审小组根据询比文件要求进行资格</w:t>
      </w:r>
      <w:r>
        <w:rPr>
          <w:rFonts w:asciiTheme="minorEastAsia" w:hAnsiTheme="minorEastAsia" w:eastAsiaTheme="minorEastAsia"/>
          <w:sz w:val="24"/>
        </w:rPr>
        <w:t>审查</w:t>
      </w:r>
      <w:r>
        <w:rPr>
          <w:rFonts w:hint="eastAsia" w:asciiTheme="minorEastAsia" w:hAnsiTheme="minorEastAsia" w:eastAsiaTheme="minorEastAsia"/>
          <w:sz w:val="24"/>
        </w:rPr>
        <w:t>，未</w:t>
      </w:r>
      <w:r>
        <w:rPr>
          <w:rFonts w:asciiTheme="minorEastAsia" w:hAnsiTheme="minorEastAsia" w:eastAsiaTheme="minorEastAsia"/>
          <w:sz w:val="24"/>
        </w:rPr>
        <w:t>通过</w:t>
      </w:r>
      <w:r>
        <w:rPr>
          <w:rFonts w:hint="eastAsia" w:asciiTheme="minorEastAsia" w:hAnsiTheme="minorEastAsia" w:eastAsiaTheme="minorEastAsia"/>
          <w:sz w:val="24"/>
        </w:rPr>
        <w:t>资格</w:t>
      </w:r>
      <w:r>
        <w:rPr>
          <w:rFonts w:asciiTheme="minorEastAsia" w:hAnsiTheme="minorEastAsia" w:eastAsiaTheme="minorEastAsia"/>
          <w:sz w:val="24"/>
        </w:rPr>
        <w:t>审查</w:t>
      </w:r>
      <w:r>
        <w:rPr>
          <w:rFonts w:hint="eastAsia" w:asciiTheme="minorEastAsia" w:hAnsiTheme="minorEastAsia" w:eastAsiaTheme="minorEastAsia"/>
          <w:sz w:val="24"/>
        </w:rPr>
        <w:t>的响应文件不进行评审。</w:t>
      </w:r>
    </w:p>
    <w:tbl>
      <w:tblPr>
        <w:tblStyle w:val="37"/>
        <w:tblW w:w="5000" w:type="pct"/>
        <w:tblInd w:w="0" w:type="dxa"/>
        <w:tblLayout w:type="fixed"/>
        <w:tblCellMar>
          <w:top w:w="0" w:type="dxa"/>
          <w:left w:w="108" w:type="dxa"/>
          <w:bottom w:w="0" w:type="dxa"/>
          <w:right w:w="108" w:type="dxa"/>
        </w:tblCellMar>
      </w:tblPr>
      <w:tblGrid>
        <w:gridCol w:w="5106"/>
        <w:gridCol w:w="3416"/>
      </w:tblGrid>
      <w:tr>
        <w:tblPrEx>
          <w:tblCellMar>
            <w:top w:w="0" w:type="dxa"/>
            <w:left w:w="108" w:type="dxa"/>
            <w:bottom w:w="0" w:type="dxa"/>
            <w:right w:w="108" w:type="dxa"/>
          </w:tblCellMar>
        </w:tblPrEx>
        <w:trPr>
          <w:trHeight w:val="564" w:hRule="atLeast"/>
        </w:trPr>
        <w:tc>
          <w:tcPr>
            <w:tcW w:w="5000" w:type="pct"/>
            <w:gridSpan w:val="2"/>
            <w:tcBorders>
              <w:top w:val="nil"/>
              <w:left w:val="nil"/>
              <w:bottom w:val="nil"/>
              <w:right w:val="nil"/>
            </w:tcBorders>
            <w:shd w:val="clear" w:color="auto" w:fill="auto"/>
            <w:noWrap/>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b/>
                <w:sz w:val="28"/>
              </w:rPr>
              <w:t>资格性审查表</w:t>
            </w:r>
          </w:p>
        </w:tc>
      </w:tr>
      <w:tr>
        <w:tblPrEx>
          <w:tblCellMar>
            <w:top w:w="0" w:type="dxa"/>
            <w:left w:w="108" w:type="dxa"/>
            <w:bottom w:w="0" w:type="dxa"/>
            <w:right w:w="108" w:type="dxa"/>
          </w:tblCellMar>
        </w:tblPrEx>
        <w:trPr>
          <w:trHeight w:val="660" w:hRule="atLeast"/>
        </w:trPr>
        <w:tc>
          <w:tcPr>
            <w:tcW w:w="299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审查内容</w:t>
            </w:r>
          </w:p>
        </w:tc>
        <w:tc>
          <w:tcPr>
            <w:tcW w:w="2003" w:type="pct"/>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响应供应商</w:t>
            </w:r>
          </w:p>
        </w:tc>
      </w:tr>
      <w:tr>
        <w:tblPrEx>
          <w:tblCellMar>
            <w:top w:w="0" w:type="dxa"/>
            <w:left w:w="108" w:type="dxa"/>
            <w:bottom w:w="0" w:type="dxa"/>
            <w:right w:w="108" w:type="dxa"/>
          </w:tblCellMar>
        </w:tblPrEx>
        <w:trPr>
          <w:trHeight w:val="780" w:hRule="atLeast"/>
        </w:trPr>
        <w:tc>
          <w:tcPr>
            <w:tcW w:w="2996" w:type="pct"/>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（一）响应供应商须为在中华人民共和国境内注册且具有独立法人资格单位或有营业执照。</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（二）</w:t>
            </w:r>
            <w:r>
              <w:rPr>
                <w:rFonts w:hint="default" w:ascii="宋体" w:hAnsi="宋体"/>
                <w:sz w:val="24"/>
              </w:rPr>
              <w:t>本项目不接受联合体投标，不允许响应供应商对本采购货物及其相关服务进行分包和转包。</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sz w:val="24"/>
              </w:rPr>
              <w:t>（三）</w:t>
            </w:r>
            <w:r>
              <w:rPr>
                <w:rFonts w:hint="eastAsia" w:ascii="宋体" w:hAnsi="宋体"/>
                <w:sz w:val="24"/>
              </w:rPr>
              <w:t>供应商营业执照经营范围须包含“回收、再生（或加工）未被污染的输液瓶和输液袋”或“再生资源回收（除生产性废旧金属）”的资质。</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sz w:val="24"/>
              </w:rPr>
            </w:pPr>
            <w:r>
              <w:rPr>
                <w:rFonts w:hint="eastAsia" w:ascii="宋体" w:hAnsi="宋体"/>
                <w:sz w:val="24"/>
              </w:rPr>
              <w:t>（四）供应商须提供对使用后未被污染输液瓶（袋）等塑料制品、玻璃输液瓶处置项目的固定污染源排污登记表/排污许可证。如供应商委托外单位处置的，须提供有效的委托协议。</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是否通过资格性审查（此处填写“通过”或“不通过”）</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00" w:hRule="atLeast"/>
        </w:trPr>
        <w:tc>
          <w:tcPr>
            <w:tcW w:w="5000" w:type="pct"/>
            <w:gridSpan w:val="2"/>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备注：响应供应商分栏中填写“√”表示该项符合资格要求，“×”表示该项不符合资格要求。</w:t>
            </w:r>
          </w:p>
          <w:p>
            <w:pPr>
              <w:keepNext w:val="0"/>
              <w:keepLines w:val="0"/>
              <w:widowControl/>
              <w:suppressLineNumbers w:val="0"/>
              <w:spacing w:before="0" w:beforeAutospacing="0" w:after="0" w:afterAutospacing="0" w:line="460" w:lineRule="exact"/>
              <w:ind w:left="0" w:right="0" w:firstLine="480" w:firstLineChars="200"/>
              <w:rPr>
                <w:rFonts w:hint="default" w:asciiTheme="minorEastAsia" w:hAnsiTheme="minorEastAsia" w:eastAsiaTheme="minorEastAsia"/>
                <w:sz w:val="24"/>
              </w:rPr>
            </w:pPr>
            <w:r>
              <w:rPr>
                <w:rFonts w:hint="default" w:ascii="宋体" w:hAnsi="宋体" w:cs="宋体"/>
                <w:kern w:val="0"/>
                <w:sz w:val="24"/>
              </w:rPr>
              <w:t>3、</w:t>
            </w:r>
            <w:r>
              <w:rPr>
                <w:rFonts w:hint="eastAsia" w:asciiTheme="minorEastAsia" w:hAnsiTheme="minorEastAsia" w:eastAsiaTheme="minorEastAsia"/>
                <w:sz w:val="24"/>
              </w:rPr>
              <w:t>评审小组根据询比文件要求进行</w:t>
            </w:r>
            <w:r>
              <w:rPr>
                <w:rFonts w:hint="default" w:asciiTheme="minorEastAsia" w:hAnsiTheme="minorEastAsia" w:eastAsiaTheme="minorEastAsia"/>
                <w:sz w:val="24"/>
              </w:rPr>
              <w:t>实质性审查</w:t>
            </w:r>
            <w:r>
              <w:rPr>
                <w:rFonts w:hint="eastAsia" w:asciiTheme="minorEastAsia" w:hAnsiTheme="minorEastAsia" w:eastAsiaTheme="minorEastAsia"/>
                <w:sz w:val="24"/>
              </w:rPr>
              <w:t>，未</w:t>
            </w:r>
            <w:r>
              <w:rPr>
                <w:rFonts w:hint="default" w:asciiTheme="minorEastAsia" w:hAnsiTheme="minorEastAsia" w:eastAsiaTheme="minorEastAsia"/>
                <w:sz w:val="24"/>
              </w:rPr>
              <w:t>通过实质性审查</w:t>
            </w:r>
            <w:r>
              <w:rPr>
                <w:rFonts w:hint="eastAsia" w:asciiTheme="minorEastAsia" w:hAnsiTheme="minorEastAsia" w:eastAsiaTheme="minorEastAsia"/>
                <w:sz w:val="24"/>
              </w:rPr>
              <w:t>的响应文件不进行评审。</w:t>
            </w:r>
          </w:p>
          <w:tbl>
            <w:tblPr>
              <w:tblStyle w:val="37"/>
              <w:tblW w:w="8957" w:type="dxa"/>
              <w:tblInd w:w="0" w:type="dxa"/>
              <w:tblLayout w:type="fixed"/>
              <w:tblCellMar>
                <w:top w:w="0" w:type="dxa"/>
                <w:left w:w="108" w:type="dxa"/>
                <w:bottom w:w="0" w:type="dxa"/>
                <w:right w:w="108" w:type="dxa"/>
              </w:tblCellMar>
            </w:tblPr>
            <w:tblGrid>
              <w:gridCol w:w="4678"/>
              <w:gridCol w:w="3495"/>
              <w:gridCol w:w="784"/>
            </w:tblGrid>
            <w:tr>
              <w:tblPrEx>
                <w:tblCellMar>
                  <w:top w:w="0" w:type="dxa"/>
                  <w:left w:w="108" w:type="dxa"/>
                  <w:bottom w:w="0" w:type="dxa"/>
                  <w:right w:w="108" w:type="dxa"/>
                </w:tblCellMar>
              </w:tblPrEx>
              <w:trPr>
                <w:trHeight w:val="564" w:hRule="atLeast"/>
              </w:trPr>
              <w:tc>
                <w:tcPr>
                  <w:tcW w:w="8957" w:type="dxa"/>
                  <w:gridSpan w:val="3"/>
                  <w:shd w:val="clear" w:color="auto" w:fill="auto"/>
                  <w:noWrap/>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default" w:ascii="宋体" w:hAnsi="宋体" w:cs="宋体"/>
                      <w:b/>
                      <w:sz w:val="28"/>
                      <w:lang w:bidi="ar"/>
                    </w:rPr>
                    <w:t>实质</w:t>
                  </w:r>
                  <w:r>
                    <w:rPr>
                      <w:rFonts w:hint="eastAsia" w:ascii="宋体" w:hAnsi="宋体" w:cs="宋体"/>
                      <w:b/>
                      <w:sz w:val="28"/>
                      <w:lang w:bidi="ar"/>
                    </w:rPr>
                    <w:t>性审查表</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lang w:bidi="ar"/>
                    </w:rPr>
                    <w:t>审查内容</w:t>
                  </w:r>
                </w:p>
              </w:tc>
              <w:tc>
                <w:tcPr>
                  <w:tcW w:w="3495"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lang w:bidi="ar"/>
                    </w:rPr>
                    <w:t>响应供应商</w:t>
                  </w:r>
                </w:p>
              </w:tc>
            </w:tr>
            <w:tr>
              <w:tblPrEx>
                <w:tblCellMar>
                  <w:top w:w="0" w:type="dxa"/>
                  <w:left w:w="108" w:type="dxa"/>
                  <w:bottom w:w="0" w:type="dxa"/>
                  <w:right w:w="108" w:type="dxa"/>
                </w:tblCellMar>
              </w:tblPrEx>
              <w:trPr>
                <w:gridAfter w:val="1"/>
                <w:wAfter w:w="784" w:type="dxa"/>
                <w:trHeight w:val="78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cs="宋体"/>
                      <w:kern w:val="0"/>
                      <w:sz w:val="24"/>
                    </w:rPr>
                    <w:t>★若成交供应商超过 2 次以上不能按合同约定要求进行可回收物收运工作，采购人有权终止合同而无需承担任何违约责任，并有权追究成交供应商的违约责任。</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78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cs="宋体"/>
                      <w:kern w:val="0"/>
                      <w:sz w:val="24"/>
                    </w:rPr>
                    <w:t>★若采购人在验收货物时发现成交供应商的货物存在假冒伪劣或次品情况或不合格商品，乙方须在2个工作日内更换货物。若连续3次验收货物时发现有假冒伪劣或次品情况或不合格商品，不论数量多少，采购人有权终止合同。</w:t>
                  </w:r>
                </w:p>
                <w:p>
                  <w:pPr>
                    <w:keepNext w:val="0"/>
                    <w:keepLines w:val="0"/>
                    <w:widowControl/>
                    <w:suppressLineNumbers w:val="0"/>
                    <w:spacing w:before="0" w:beforeAutospacing="0" w:after="0" w:afterAutospacing="0"/>
                    <w:ind w:left="0" w:right="0"/>
                    <w:jc w:val="left"/>
                    <w:rPr>
                      <w:rFonts w:hint="default" w:ascii="宋体" w:hAnsi="宋体" w:cs="宋体"/>
                      <w:kern w:val="0"/>
                      <w:sz w:val="24"/>
                    </w:rPr>
                  </w:pP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84" w:type="dxa"/>
                <w:trHeight w:val="78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cs="宋体"/>
                      <w:kern w:val="0"/>
                      <w:sz w:val="24"/>
                    </w:rPr>
                    <w:t>★若成交供应商连续3次未按采购人需求提供货物，采购人有权终止合同。</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宋体" w:hAnsi="宋体" w:cs="宋体"/>
                      <w:kern w:val="0"/>
                      <w:sz w:val="24"/>
                    </w:rPr>
                  </w:pPr>
                  <w:r>
                    <w:rPr>
                      <w:rFonts w:hint="default" w:ascii="宋体" w:hAnsi="宋体" w:cs="宋体"/>
                      <w:kern w:val="0"/>
                      <w:sz w:val="24"/>
                    </w:rPr>
                    <w:t>★对于回收未被污染的使用后的输液袋（瓶）、废塑料AB胶桶后的再生处理，再生产产品不得用于原用途，以不危害人体健康为原则，禁止用于食品和医疗卫生用品行业。再生产品的用途限于：医疗废物包装袋、周转箱；汽车工业零配件；塑料地毯、地胶；工业用具包装盒等符合相关规范的产品及用途。如成交供应商存在违约情况或违规不按要求生产再生产品，采购人有权终止合同而无需承担任何违约责任，并有权追究成交供应商的违约责任。</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宋体"/>
                      <w:kern w:val="0"/>
                      <w:sz w:val="24"/>
                    </w:rPr>
                  </w:pPr>
                  <w:r>
                    <w:rPr>
                      <w:rFonts w:hint="default" w:ascii="宋体" w:hAnsi="宋体" w:cs="宋体"/>
                      <w:kern w:val="0"/>
                      <w:sz w:val="24"/>
                    </w:rPr>
                    <w:t>★废药纸盒（经成交供应商进行毁形后）、废药品说明书等销售给有资质的再生资源利用机构，保留流向单据，进行登记，登记内容应当包括可回收物的来源、种类、重量或者数量、交接时间、处置方法、最终去向以及经办人签名等项目。登记资料至少保存3年。决不能销售给无资质的机构或个人，杜绝产生社会危害。成交供应商保证可回收物品去向可追溯，如果违约所产生的法律后果，由成交供应商承担，与采购人无关。</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lang w:bidi="ar"/>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★成交供应商考核评分连续两个季度总分均低于70分的，采购人有权单方解除本协议，同时就协议已履行的部分进行清算和结算，成交供应商应赔偿采购人因此产生的损失。</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lang w:bidi="ar"/>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★出现以下其中一种情况的，当季考核分数评为不合格，采购人有权解除合同，成交供应商须向采购人支付合同总价20%作为违约金，并赔偿采购人因此产生的全部损失：</w:t>
                  </w:r>
                </w:p>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1.营业执照、固定污染源排污登记表/排污许可证等证照不齐全或不在有效期内。</w:t>
                  </w:r>
                </w:p>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 xml:space="preserve">2.连续3次未按采购人需求提供货物，或连续3次验收发现置换物资不符合合同约定。 </w:t>
                  </w:r>
                </w:p>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回收废处方纸时，未按要求在院内破碎废处方纸便外运的。</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是否通过实质性审查（此处填写“通过”或“不通过”）</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bl>
          <w:p>
            <w:pPr>
              <w:pStyle w:val="5"/>
              <w:keepNext w:val="0"/>
              <w:keepLines w:val="0"/>
              <w:suppressLineNumbers w:val="0"/>
              <w:spacing w:before="0" w:beforeAutospacing="0" w:after="0" w:afterAutospacing="0"/>
              <w:ind w:left="0" w:right="0"/>
              <w:rPr>
                <w:rFonts w:hint="default" w:ascii="宋体" w:hAnsi="宋体" w:cs="宋体"/>
                <w:kern w:val="0"/>
                <w:sz w:val="24"/>
              </w:rPr>
            </w:pPr>
          </w:p>
        </w:tc>
      </w:tr>
    </w:tbl>
    <w:p>
      <w:pPr>
        <w:widowControl/>
        <w:jc w:val="left"/>
        <w:rPr>
          <w:rFonts w:ascii="宋体" w:hAnsi="宋体" w:cs="宋体"/>
          <w:kern w:val="0"/>
          <w:sz w:val="24"/>
        </w:rPr>
      </w:pPr>
      <w:r>
        <w:rPr>
          <w:rFonts w:hint="eastAsia" w:ascii="宋体" w:hAnsi="宋体" w:cs="宋体"/>
          <w:kern w:val="0"/>
          <w:sz w:val="24"/>
        </w:rPr>
        <w:t>备注：响应供应商分栏中填写“√”表示该项符合要求，“×”表示该项不符合要求。</w:t>
      </w:r>
    </w:p>
    <w:p>
      <w:pPr>
        <w:widowControl/>
        <w:spacing w:line="460" w:lineRule="exact"/>
        <w:ind w:firstLine="480" w:firstLineChars="200"/>
        <w:rPr>
          <w:rFonts w:cs="宋体" w:asciiTheme="minorEastAsia" w:hAnsiTheme="minorEastAsia" w:eastAsiaTheme="minorEastAsia"/>
          <w:color w:val="000000"/>
          <w:kern w:val="0"/>
          <w:sz w:val="24"/>
        </w:rPr>
      </w:pPr>
      <w:r>
        <w:rPr>
          <w:rFonts w:asciiTheme="minorEastAsia" w:hAnsiTheme="minorEastAsia" w:eastAsiaTheme="minorEastAsia"/>
          <w:sz w:val="24"/>
        </w:rPr>
        <w:t>4</w:t>
      </w:r>
      <w:r>
        <w:rPr>
          <w:rFonts w:hint="eastAsia" w:asciiTheme="minorEastAsia" w:hAnsiTheme="minorEastAsia" w:eastAsiaTheme="minorEastAsia"/>
          <w:sz w:val="24"/>
        </w:rPr>
        <w:t>、评审小组</w:t>
      </w:r>
      <w:bookmarkStart w:id="47" w:name="_Hlk51102788"/>
      <w:r>
        <w:rPr>
          <w:rFonts w:hint="eastAsia" w:asciiTheme="minorEastAsia" w:hAnsiTheme="minorEastAsia" w:eastAsiaTheme="minorEastAsia"/>
          <w:sz w:val="24"/>
        </w:rPr>
        <w:t>按综合得分由高到低顺序排出名次</w:t>
      </w:r>
      <w:bookmarkEnd w:id="47"/>
      <w:r>
        <w:rPr>
          <w:rFonts w:hint="eastAsia" w:asciiTheme="minorEastAsia" w:hAnsiTheme="minorEastAsia" w:eastAsiaTheme="minorEastAsia"/>
          <w:sz w:val="24"/>
        </w:rPr>
        <w:t>，并推荐综合得分排行第一的响应供应商为第一成交候选人</w:t>
      </w:r>
      <w:bookmarkStart w:id="48" w:name="_Hlk51102816"/>
      <w:r>
        <w:rPr>
          <w:rFonts w:hint="eastAsia" w:asciiTheme="minorEastAsia" w:hAnsiTheme="minorEastAsia" w:eastAsiaTheme="minorEastAsia"/>
          <w:sz w:val="24"/>
        </w:rPr>
        <w:t>（综合得分相同的，响应报价低的排序在前）、综合得分排行第二的响应供应商为第二成交候选人。</w:t>
      </w:r>
      <w:bookmarkEnd w:id="48"/>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5</w:t>
      </w:r>
      <w:r>
        <w:rPr>
          <w:rFonts w:hint="eastAsia" w:asciiTheme="minorEastAsia" w:hAnsiTheme="minorEastAsia" w:eastAsiaTheme="minorEastAsia"/>
          <w:sz w:val="24"/>
        </w:rPr>
        <w:t>、评审小组按以下标准和权重进行评分。</w:t>
      </w:r>
    </w:p>
    <w:p>
      <w:pPr>
        <w:tabs>
          <w:tab w:val="left" w:pos="945"/>
        </w:tabs>
        <w:spacing w:line="360" w:lineRule="auto"/>
        <w:ind w:left="113" w:leftChars="54"/>
        <w:rPr>
          <w:rFonts w:ascii="宋体" w:hAnsi="宋体"/>
          <w:sz w:val="24"/>
        </w:rPr>
      </w:pPr>
      <w:r>
        <w:rPr>
          <w:rFonts w:hint="eastAsia" w:ascii="宋体" w:hAnsi="宋体"/>
          <w:sz w:val="24"/>
        </w:rPr>
        <w:t>（1）评分总分最高为100分，商务、技术及报价的评分分值设置如下：</w:t>
      </w:r>
    </w:p>
    <w:p>
      <w:pPr>
        <w:pStyle w:val="5"/>
        <w:rPr>
          <w:sz w:val="24"/>
          <w:szCs w:val="24"/>
        </w:rPr>
      </w:pPr>
    </w:p>
    <w:tbl>
      <w:tblPr>
        <w:tblStyle w:val="37"/>
        <w:tblW w:w="493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4"/>
        <w:gridCol w:w="1864"/>
        <w:gridCol w:w="2149"/>
        <w:gridCol w:w="2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分值</w:t>
            </w:r>
          </w:p>
        </w:tc>
        <w:tc>
          <w:tcPr>
            <w:tcW w:w="1109"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bCs/>
                <w:sz w:val="24"/>
              </w:rPr>
              <w:t>商务</w:t>
            </w:r>
            <w:r>
              <w:rPr>
                <w:rFonts w:hint="eastAsia" w:ascii="宋体" w:hAnsi="宋体"/>
                <w:b/>
                <w:spacing w:val="-4"/>
                <w:sz w:val="24"/>
              </w:rPr>
              <w:t>评分</w:t>
            </w:r>
          </w:p>
        </w:tc>
        <w:tc>
          <w:tcPr>
            <w:tcW w:w="127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技术评分</w:t>
            </w:r>
          </w:p>
        </w:tc>
        <w:tc>
          <w:tcPr>
            <w:tcW w:w="1415"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报价得分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100分</w:t>
            </w:r>
          </w:p>
        </w:tc>
        <w:tc>
          <w:tcPr>
            <w:tcW w:w="1109"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default" w:ascii="宋体" w:hAnsi="宋体"/>
                <w:sz w:val="24"/>
              </w:rPr>
              <w:t>22</w:t>
            </w:r>
            <w:r>
              <w:rPr>
                <w:rFonts w:hint="eastAsia" w:ascii="宋体" w:hAnsi="宋体"/>
                <w:sz w:val="24"/>
              </w:rPr>
              <w:t>分</w:t>
            </w:r>
          </w:p>
        </w:tc>
        <w:tc>
          <w:tcPr>
            <w:tcW w:w="127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default" w:ascii="宋体" w:hAnsi="宋体"/>
                <w:sz w:val="24"/>
              </w:rPr>
              <w:t>58</w:t>
            </w:r>
            <w:r>
              <w:rPr>
                <w:rFonts w:hint="eastAsia" w:ascii="宋体" w:hAnsi="宋体"/>
                <w:sz w:val="24"/>
              </w:rPr>
              <w:t>分</w:t>
            </w:r>
          </w:p>
        </w:tc>
        <w:tc>
          <w:tcPr>
            <w:tcW w:w="1415"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eastAsia" w:ascii="宋体" w:hAnsi="宋体"/>
                <w:sz w:val="24"/>
              </w:rPr>
              <w:t>20分</w:t>
            </w:r>
          </w:p>
        </w:tc>
      </w:tr>
    </w:tbl>
    <w:p>
      <w:pPr>
        <w:pStyle w:val="5"/>
      </w:pPr>
    </w:p>
    <w:p>
      <w:pPr>
        <w:spacing w:line="330" w:lineRule="exact"/>
        <w:jc w:val="center"/>
        <w:rPr>
          <w:rFonts w:ascii="宋体" w:hAnsi="宋体" w:cs="Calibri"/>
          <w:b/>
          <w:sz w:val="28"/>
          <w:szCs w:val="28"/>
        </w:rPr>
      </w:pPr>
      <w:bookmarkStart w:id="49" w:name="_Toc14789"/>
      <w:r>
        <w:rPr>
          <w:rFonts w:hint="eastAsia" w:ascii="宋体" w:hAnsi="宋体" w:cs="Calibri"/>
          <w:b/>
          <w:sz w:val="28"/>
          <w:szCs w:val="28"/>
        </w:rPr>
        <w:t>商务评审表</w:t>
      </w:r>
    </w:p>
    <w:p>
      <w:pPr>
        <w:pStyle w:val="156"/>
        <w:spacing w:line="330" w:lineRule="exact"/>
        <w:ind w:firstLine="560"/>
        <w:rPr>
          <w:sz w:val="28"/>
          <w:szCs w:val="28"/>
        </w:rPr>
      </w:pPr>
    </w:p>
    <w:tbl>
      <w:tblPr>
        <w:tblStyle w:val="37"/>
        <w:tblW w:w="94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635"/>
        <w:gridCol w:w="7087"/>
        <w:gridCol w:w="7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bottom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b/>
                <w:szCs w:val="21"/>
              </w:rPr>
            </w:pPr>
            <w:r>
              <w:rPr>
                <w:rFonts w:hint="eastAsia" w:ascii="宋体" w:hAnsi="宋体" w:cs="宋体"/>
                <w:b/>
                <w:szCs w:val="21"/>
              </w:rPr>
              <w:t>评审项目</w:t>
            </w:r>
          </w:p>
        </w:tc>
        <w:tc>
          <w:tcPr>
            <w:tcW w:w="7087" w:type="dxa"/>
            <w:tcBorders>
              <w:top w:val="single" w:color="auto" w:sz="6" w:space="0"/>
              <w:bottom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b/>
                <w:szCs w:val="21"/>
              </w:rPr>
            </w:pPr>
            <w:r>
              <w:rPr>
                <w:rFonts w:hint="eastAsia" w:ascii="宋体" w:hAnsi="宋体" w:cs="宋体"/>
                <w:b/>
                <w:szCs w:val="21"/>
              </w:rPr>
              <w:t>评分标准</w:t>
            </w:r>
          </w:p>
        </w:tc>
        <w:tc>
          <w:tcPr>
            <w:tcW w:w="726" w:type="dxa"/>
            <w:tcBorders>
              <w:top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b/>
                <w:szCs w:val="21"/>
              </w:rPr>
            </w:pPr>
            <w:r>
              <w:rPr>
                <w:rFonts w:hint="eastAsia" w:ascii="宋体" w:hAnsi="宋体" w:cs="宋体"/>
                <w:b/>
                <w:szCs w:val="21"/>
              </w:rPr>
              <w:t>分值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b/>
                <w:szCs w:val="21"/>
              </w:rPr>
            </w:pPr>
            <w:r>
              <w:rPr>
                <w:rFonts w:hint="eastAsia" w:ascii="宋体" w:hAnsi="宋体" w:cs="宋体"/>
                <w:color w:val="000000"/>
                <w:szCs w:val="21"/>
                <w:lang w:bidi="ar"/>
              </w:rPr>
              <w:t>用户需求书响应情况</w:t>
            </w:r>
          </w:p>
        </w:tc>
        <w:tc>
          <w:tcPr>
            <w:tcW w:w="7087"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hint="default" w:ascii="宋体" w:hAnsi="宋体" w:cs="宋体"/>
                <w:color w:val="000000"/>
                <w:szCs w:val="21"/>
              </w:rPr>
            </w:pPr>
            <w:r>
              <w:rPr>
                <w:rFonts w:hint="eastAsia" w:ascii="宋体" w:hAnsi="宋体" w:cs="宋体"/>
                <w:color w:val="000000"/>
                <w:szCs w:val="21"/>
                <w:lang w:bidi="ar"/>
              </w:rPr>
              <w:t>对用户需求书中所有条款完全响应的，得6分，有正偏离的，每一条正偏离加1分，满分</w:t>
            </w:r>
            <w:r>
              <w:rPr>
                <w:rFonts w:hint="default" w:ascii="宋体" w:hAnsi="宋体" w:cs="宋体"/>
                <w:color w:val="000000"/>
                <w:szCs w:val="21"/>
                <w:lang w:bidi="ar"/>
              </w:rPr>
              <w:t>10</w:t>
            </w:r>
            <w:r>
              <w:rPr>
                <w:rFonts w:hint="eastAsia" w:ascii="宋体" w:hAnsi="宋体" w:cs="宋体"/>
                <w:color w:val="000000"/>
                <w:szCs w:val="21"/>
                <w:lang w:bidi="ar"/>
              </w:rPr>
              <w:t>分；</w:t>
            </w:r>
          </w:p>
          <w:p>
            <w:pPr>
              <w:keepNext w:val="0"/>
              <w:keepLines w:val="0"/>
              <w:suppressLineNumbers w:val="0"/>
              <w:spacing w:before="0" w:beforeAutospacing="0" w:after="0" w:afterAutospacing="0" w:line="276" w:lineRule="auto"/>
              <w:ind w:left="0" w:right="0"/>
              <w:jc w:val="left"/>
              <w:rPr>
                <w:rFonts w:hint="default" w:ascii="宋体" w:hAnsi="宋体" w:cs="宋体"/>
                <w:color w:val="000000"/>
                <w:szCs w:val="21"/>
              </w:rPr>
            </w:pPr>
            <w:r>
              <w:rPr>
                <w:rFonts w:hint="eastAsia" w:ascii="宋体" w:hAnsi="宋体" w:cs="宋体"/>
                <w:color w:val="000000"/>
                <w:szCs w:val="21"/>
                <w:lang w:bidi="ar"/>
              </w:rPr>
              <w:t>对用户需求书中所有条款完全响应，全部无偏离的得</w:t>
            </w:r>
            <w:r>
              <w:rPr>
                <w:rFonts w:hint="default" w:ascii="宋体" w:hAnsi="宋体" w:cs="宋体"/>
                <w:color w:val="000000"/>
                <w:szCs w:val="21"/>
                <w:lang w:bidi="ar"/>
              </w:rPr>
              <w:t>6</w:t>
            </w:r>
            <w:r>
              <w:rPr>
                <w:rFonts w:hint="eastAsia" w:ascii="宋体" w:hAnsi="宋体" w:cs="宋体"/>
                <w:color w:val="000000"/>
                <w:szCs w:val="21"/>
                <w:lang w:bidi="ar"/>
              </w:rPr>
              <w:t>分；</w:t>
            </w:r>
          </w:p>
          <w:p>
            <w:pPr>
              <w:keepNext w:val="0"/>
              <w:keepLines w:val="0"/>
              <w:suppressLineNumbers w:val="0"/>
              <w:spacing w:before="0" w:beforeAutospacing="0" w:after="0" w:afterAutospacing="0" w:line="276" w:lineRule="auto"/>
              <w:ind w:left="0" w:right="0"/>
              <w:jc w:val="left"/>
              <w:rPr>
                <w:rFonts w:hint="default" w:ascii="宋体" w:hAnsi="宋体" w:cs="宋体"/>
                <w:b/>
                <w:szCs w:val="21"/>
              </w:rPr>
            </w:pPr>
            <w:r>
              <w:rPr>
                <w:rFonts w:hint="eastAsia" w:ascii="宋体" w:hAnsi="宋体" w:cs="宋体"/>
                <w:color w:val="000000"/>
                <w:szCs w:val="21"/>
                <w:lang w:bidi="ar"/>
              </w:rPr>
              <w:t>对用户需求书中部分条款不响应或有负偏离的得2分</w:t>
            </w:r>
            <w:r>
              <w:rPr>
                <w:rFonts w:hint="eastAsia" w:ascii="宋体" w:hAnsi="宋体" w:cs="宋体"/>
                <w:color w:val="000000"/>
                <w:szCs w:val="21"/>
              </w:rPr>
              <w:t>。</w:t>
            </w:r>
          </w:p>
        </w:tc>
        <w:tc>
          <w:tcPr>
            <w:tcW w:w="726" w:type="dxa"/>
            <w:tcBorders>
              <w:top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b/>
                <w:szCs w:val="21"/>
              </w:rPr>
            </w:pPr>
            <w:r>
              <w:rPr>
                <w:rFonts w:hint="default" w:ascii="宋体" w:hAnsi="宋体" w:cs="宋体"/>
                <w:color w:val="000000"/>
                <w:szCs w:val="21"/>
                <w:lang w:bidi="ar"/>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rPr>
            </w:pPr>
            <w:r>
              <w:rPr>
                <w:rFonts w:hint="eastAsia" w:ascii="宋体" w:hAnsi="宋体" w:cs="宋体"/>
                <w:szCs w:val="21"/>
                <w:lang w:bidi="ar"/>
              </w:rPr>
              <w:t>同类项目业绩</w:t>
            </w:r>
          </w:p>
        </w:tc>
        <w:tc>
          <w:tcPr>
            <w:tcW w:w="7087" w:type="dxa"/>
            <w:tcBorders>
              <w:top w:val="single" w:color="auto" w:sz="6" w:space="0"/>
              <w:bottom w:val="single" w:color="auto" w:sz="6" w:space="0"/>
            </w:tcBorders>
            <w:vAlign w:val="center"/>
          </w:tcPr>
          <w:p>
            <w:pPr>
              <w:keepNext w:val="0"/>
              <w:keepLines w:val="0"/>
              <w:suppressLineNumbers w:val="0"/>
              <w:tabs>
                <w:tab w:val="left" w:pos="312"/>
              </w:tabs>
              <w:spacing w:before="0" w:beforeAutospacing="0" w:after="0" w:afterAutospacing="0" w:line="276" w:lineRule="auto"/>
              <w:ind w:left="0" w:right="0"/>
              <w:jc w:val="left"/>
              <w:rPr>
                <w:rFonts w:hint="default" w:ascii="宋体" w:hAnsi="宋体" w:cs="宋体"/>
                <w:kern w:val="0"/>
                <w:szCs w:val="21"/>
              </w:rPr>
            </w:pPr>
            <w:r>
              <w:rPr>
                <w:rFonts w:hint="eastAsia" w:ascii="宋体" w:hAnsi="宋体" w:cs="宋体"/>
                <w:szCs w:val="21"/>
                <w:lang w:bidi="ar"/>
              </w:rPr>
              <w:t>投标人202</w:t>
            </w:r>
            <w:r>
              <w:rPr>
                <w:rFonts w:hint="default" w:ascii="宋体" w:hAnsi="宋体" w:cs="宋体"/>
                <w:szCs w:val="21"/>
                <w:lang w:bidi="ar"/>
              </w:rPr>
              <w:t>3</w:t>
            </w:r>
            <w:r>
              <w:rPr>
                <w:rFonts w:hint="eastAsia" w:ascii="宋体" w:hAnsi="宋体" w:cs="宋体"/>
                <w:szCs w:val="21"/>
                <w:lang w:bidi="ar"/>
              </w:rPr>
              <w:t>年1月1日至今（以合同签订时间为准）具有同类可回收物收运项目业绩，每项得2分，最高6分。需提供合同复印件，不符合或不提供不得分</w:t>
            </w:r>
            <w:r>
              <w:rPr>
                <w:rFonts w:hint="eastAsia" w:ascii="宋体" w:hAnsi="宋体" w:cs="宋体"/>
                <w:szCs w:val="21"/>
              </w:rPr>
              <w:t>。</w:t>
            </w:r>
          </w:p>
        </w:tc>
        <w:tc>
          <w:tcPr>
            <w:tcW w:w="726" w:type="dxa"/>
            <w:tcBorders>
              <w:top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rPr>
            </w:pPr>
            <w:r>
              <w:rPr>
                <w:rFonts w:hint="eastAsia" w:ascii="宋体" w:hAnsi="宋体" w:cs="宋体"/>
                <w:szCs w:val="21"/>
                <w:lang w:bidi="ar"/>
              </w:rPr>
              <w:t>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lang w:bidi="ar"/>
              </w:rPr>
            </w:pPr>
            <w:r>
              <w:rPr>
                <w:rFonts w:hint="eastAsia" w:ascii="宋体" w:hAnsi="宋体" w:cs="宋体"/>
                <w:szCs w:val="21"/>
                <w:lang w:bidi="ar"/>
              </w:rPr>
              <w:t>用户评价</w:t>
            </w:r>
          </w:p>
        </w:tc>
        <w:tc>
          <w:tcPr>
            <w:tcW w:w="7087" w:type="dxa"/>
            <w:tcBorders>
              <w:top w:val="single" w:color="auto" w:sz="6" w:space="0"/>
              <w:bottom w:val="single" w:color="auto" w:sz="6" w:space="0"/>
            </w:tcBorders>
            <w:vAlign w:val="center"/>
          </w:tcPr>
          <w:p>
            <w:pPr>
              <w:keepNext w:val="0"/>
              <w:keepLines w:val="0"/>
              <w:suppressLineNumbers w:val="0"/>
              <w:tabs>
                <w:tab w:val="left" w:pos="312"/>
              </w:tabs>
              <w:spacing w:before="0" w:beforeAutospacing="0" w:after="0" w:afterAutospacing="0" w:line="276" w:lineRule="auto"/>
              <w:ind w:left="0" w:right="0"/>
              <w:jc w:val="left"/>
              <w:rPr>
                <w:rFonts w:hint="default" w:ascii="宋体" w:hAnsi="宋体" w:cs="宋体"/>
                <w:szCs w:val="21"/>
              </w:rPr>
            </w:pPr>
            <w:r>
              <w:rPr>
                <w:rFonts w:hint="eastAsia" w:ascii="宋体" w:hAnsi="宋体" w:cs="宋体"/>
                <w:szCs w:val="21"/>
                <w:lang w:bidi="ar"/>
              </w:rPr>
              <w:t>投标人202</w:t>
            </w:r>
            <w:r>
              <w:rPr>
                <w:rFonts w:hint="default" w:ascii="宋体" w:hAnsi="宋体" w:cs="宋体"/>
                <w:szCs w:val="21"/>
                <w:lang w:bidi="ar"/>
              </w:rPr>
              <w:t>3</w:t>
            </w:r>
            <w:r>
              <w:rPr>
                <w:rFonts w:hint="eastAsia" w:ascii="宋体" w:hAnsi="宋体" w:cs="宋体"/>
                <w:szCs w:val="21"/>
                <w:lang w:bidi="ar"/>
              </w:rPr>
              <w:t>年1月1日至今（以合同签订时间为准）获得上述同类项目业绩服务对象的表扬或服务优秀评价的，每项得2分，最高6分；需提供证明文件复印件，不符合或不提供不得分。</w:t>
            </w:r>
          </w:p>
        </w:tc>
        <w:tc>
          <w:tcPr>
            <w:tcW w:w="726" w:type="dxa"/>
            <w:tcBorders>
              <w:top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lang w:bidi="ar"/>
              </w:rPr>
            </w:pPr>
            <w:r>
              <w:rPr>
                <w:rFonts w:hint="eastAsia" w:ascii="宋体" w:hAnsi="宋体" w:cs="宋体"/>
                <w:szCs w:val="21"/>
                <w:lang w:bidi="ar"/>
              </w:rPr>
              <w:t>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52" w:hRule="atLeast"/>
          <w:jc w:val="center"/>
        </w:trPr>
        <w:tc>
          <w:tcPr>
            <w:tcW w:w="8722" w:type="dxa"/>
            <w:gridSpan w:val="2"/>
            <w:tcBorders>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szCs w:val="21"/>
              </w:rPr>
            </w:pPr>
            <w:r>
              <w:rPr>
                <w:rFonts w:hint="eastAsia" w:ascii="宋体" w:hAnsi="宋体" w:cs="宋体"/>
                <w:szCs w:val="21"/>
              </w:rPr>
              <w:t>合    计</w:t>
            </w:r>
          </w:p>
        </w:tc>
        <w:tc>
          <w:tcPr>
            <w:tcW w:w="726" w:type="dxa"/>
            <w:tcBorders>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szCs w:val="21"/>
              </w:rPr>
            </w:pPr>
            <w:r>
              <w:rPr>
                <w:rFonts w:hint="default" w:ascii="宋体" w:hAnsi="宋体" w:cs="宋体"/>
                <w:szCs w:val="21"/>
              </w:rPr>
              <w:t>22</w:t>
            </w:r>
          </w:p>
        </w:tc>
      </w:tr>
    </w:tbl>
    <w:p>
      <w:pPr>
        <w:pStyle w:val="5"/>
      </w:pPr>
    </w:p>
    <w:p>
      <w:pPr>
        <w:spacing w:line="340" w:lineRule="exact"/>
        <w:jc w:val="center"/>
        <w:rPr>
          <w:rFonts w:ascii="宋体" w:hAnsi="宋体" w:cs="Calibri"/>
          <w:b/>
          <w:sz w:val="28"/>
          <w:szCs w:val="28"/>
        </w:rPr>
      </w:pPr>
      <w:r>
        <w:rPr>
          <w:rFonts w:hint="eastAsia" w:ascii="宋体" w:hAnsi="宋体" w:cs="Calibri"/>
          <w:b/>
          <w:sz w:val="28"/>
          <w:szCs w:val="28"/>
        </w:rPr>
        <w:t>技术评审表</w:t>
      </w:r>
    </w:p>
    <w:p>
      <w:pPr>
        <w:spacing w:line="340" w:lineRule="exact"/>
        <w:rPr>
          <w:rFonts w:ascii="宋体" w:hAnsi="Courier New" w:cs="Calibri"/>
          <w:kern w:val="0"/>
          <w:sz w:val="28"/>
          <w:szCs w:val="28"/>
        </w:rPr>
      </w:pPr>
    </w:p>
    <w:tbl>
      <w:tblPr>
        <w:tblStyle w:val="37"/>
        <w:tblW w:w="4999" w:type="pct"/>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autofit"/>
        <w:tblCellMar>
          <w:top w:w="28" w:type="dxa"/>
          <w:left w:w="108" w:type="dxa"/>
          <w:bottom w:w="28" w:type="dxa"/>
          <w:right w:w="108" w:type="dxa"/>
        </w:tblCellMar>
      </w:tblPr>
      <w:tblGrid>
        <w:gridCol w:w="1411"/>
        <w:gridCol w:w="6470"/>
        <w:gridCol w:w="639"/>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
                <w:szCs w:val="21"/>
              </w:rPr>
            </w:pPr>
            <w:r>
              <w:rPr>
                <w:rFonts w:hint="eastAsia" w:ascii="宋体" w:hAnsi="宋体" w:cs="宋体"/>
                <w:b/>
                <w:szCs w:val="21"/>
              </w:rPr>
              <w:t>评审项目</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
                <w:szCs w:val="21"/>
              </w:rPr>
            </w:pPr>
            <w:r>
              <w:rPr>
                <w:rFonts w:hint="eastAsia" w:ascii="宋体" w:hAnsi="宋体" w:cs="宋体"/>
                <w:b/>
                <w:szCs w:val="21"/>
              </w:rPr>
              <w:t>评分标准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
                <w:szCs w:val="21"/>
              </w:rPr>
            </w:pPr>
            <w:r>
              <w:rPr>
                <w:rFonts w:hint="eastAsia" w:ascii="宋体" w:hAnsi="宋体" w:cs="宋体"/>
                <w:b/>
                <w:szCs w:val="21"/>
              </w:rPr>
              <w:t>分值</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szCs w:val="21"/>
                <w:lang w:bidi="ar"/>
              </w:rPr>
              <w:t>可回收物收运方案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根据供应商针对本项目采购需求的要求结合现场实际情况，制定可回收物收运方案（包括但不限于收运频次、人员分配、收运前处理、</w:t>
            </w:r>
            <w:r>
              <w:rPr>
                <w:rFonts w:hint="eastAsia" w:ascii="宋体" w:hAnsi="宋体" w:cs="宋体"/>
                <w:szCs w:val="21"/>
                <w:lang w:eastAsia="zh-CN" w:bidi="ar"/>
              </w:rPr>
              <w:t>三次</w:t>
            </w:r>
            <w:r>
              <w:rPr>
                <w:rFonts w:hint="eastAsia" w:ascii="宋体" w:hAnsi="宋体" w:cs="宋体"/>
                <w:szCs w:val="21"/>
                <w:lang w:bidi="ar"/>
              </w:rPr>
              <w:t>分拣、运输车辆、处置方法、最终去向等）进行评审：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1. 可回收物收运方案科学合理，具体全面，可行性高，得1</w:t>
            </w:r>
            <w:r>
              <w:rPr>
                <w:rFonts w:hint="default" w:ascii="宋体" w:hAnsi="宋体" w:cs="宋体"/>
                <w:szCs w:val="21"/>
                <w:lang w:bidi="ar"/>
              </w:rPr>
              <w:t>2</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2. 可回收物收运方案较科学合理，基本全面，可行性较高，得</w:t>
            </w:r>
            <w:r>
              <w:rPr>
                <w:rFonts w:hint="default" w:ascii="宋体" w:hAnsi="宋体" w:cs="宋体"/>
                <w:szCs w:val="21"/>
                <w:lang w:bidi="ar"/>
              </w:rPr>
              <w:t>8</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3. 可回收物收运方案科学合理性较差，不具体，全面性、可行性较低，得3分。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szCs w:val="21"/>
              </w:rPr>
            </w:pPr>
            <w:r>
              <w:rPr>
                <w:rFonts w:hint="eastAsia" w:ascii="宋体" w:hAnsi="宋体" w:cs="宋体"/>
                <w:szCs w:val="21"/>
                <w:lang w:bidi="ar"/>
              </w:rPr>
              <w:t>4.</w:t>
            </w:r>
            <w:r>
              <w:rPr>
                <w:rFonts w:hint="eastAsia" w:ascii="宋体" w:hAnsi="宋体" w:cs="宋体"/>
                <w:bCs/>
                <w:szCs w:val="21"/>
                <w:lang w:bidi="ar"/>
              </w:rPr>
              <w:t>不提供</w:t>
            </w:r>
            <w:r>
              <w:rPr>
                <w:rFonts w:hint="eastAsia" w:ascii="宋体" w:hAnsi="宋体" w:cs="宋体"/>
                <w:szCs w:val="21"/>
                <w:lang w:bidi="ar"/>
              </w:rPr>
              <w:t>可回收物</w:t>
            </w:r>
            <w:r>
              <w:rPr>
                <w:rFonts w:hint="eastAsia" w:ascii="宋体" w:hAnsi="宋体" w:cs="宋体"/>
                <w:bCs/>
                <w:szCs w:val="21"/>
                <w:lang w:bidi="ar"/>
              </w:rPr>
              <w:t>收运方案不得分。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default" w:ascii="宋体" w:hAnsi="宋体" w:cs="宋体"/>
                <w:szCs w:val="21"/>
                <w:lang w:bidi="ar"/>
              </w:rPr>
              <w:t>12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样品</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eastAsia" w:ascii="宋体" w:hAnsi="宋体" w:cs="宋体"/>
                <w:szCs w:val="21"/>
                <w:lang w:bidi="ar"/>
              </w:rPr>
              <w:t>根据供应商提交的实物样品的印刷字体是否清晰、产品符合用户需求，产品上的标示(警示或注意事项)详细规范，质量可靠性，与技术参数符合性的比较，进行评审: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1.</w:t>
            </w:r>
            <w:r>
              <w:rPr>
                <w:rFonts w:hint="eastAsia" w:ascii="宋体" w:hAnsi="宋体" w:cs="宋体"/>
                <w:szCs w:val="21"/>
                <w:lang w:bidi="ar"/>
              </w:rPr>
              <w:t>投标实物样品的印刷字体清晰、产品符合用户需求，产品上的标示(警示或注意事项)详细规范，质量可靠性高，完全符合技术参数，得1</w:t>
            </w:r>
            <w:r>
              <w:rPr>
                <w:rFonts w:hint="default" w:ascii="宋体" w:hAnsi="宋体" w:cs="宋体"/>
                <w:szCs w:val="21"/>
                <w:lang w:bidi="ar"/>
              </w:rPr>
              <w:t>2</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2.</w:t>
            </w:r>
            <w:r>
              <w:rPr>
                <w:rFonts w:hint="eastAsia" w:ascii="宋体" w:hAnsi="宋体" w:cs="宋体"/>
                <w:szCs w:val="21"/>
                <w:lang w:bidi="ar"/>
              </w:rPr>
              <w:t>投标实物样品的印刷字体较清晰、产品较符合用户需求，产品上的标示(警示或注意事项)较详细规范，质量可靠性较高，较高程度符合技术参数，得</w:t>
            </w:r>
            <w:r>
              <w:rPr>
                <w:rFonts w:hint="default" w:ascii="宋体" w:hAnsi="宋体" w:cs="宋体"/>
                <w:szCs w:val="21"/>
                <w:lang w:bidi="ar"/>
              </w:rPr>
              <w:t>8</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3.</w:t>
            </w:r>
            <w:r>
              <w:rPr>
                <w:rFonts w:hint="eastAsia" w:ascii="宋体" w:hAnsi="宋体" w:cs="宋体"/>
                <w:szCs w:val="21"/>
                <w:lang w:bidi="ar"/>
              </w:rPr>
              <w:t>投标实物样品的印刷字体较清晰、产品较符合用户需求，产品上的标示(警示或注意事项)较详细规范，有一定的质量可靠性，与技术参数有一定的符合，得</w:t>
            </w:r>
            <w:r>
              <w:rPr>
                <w:rFonts w:hint="default" w:ascii="宋体" w:hAnsi="宋体" w:cs="宋体"/>
                <w:szCs w:val="21"/>
                <w:lang w:bidi="ar"/>
              </w:rPr>
              <w:t>3</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4.</w:t>
            </w:r>
            <w:r>
              <w:rPr>
                <w:rFonts w:hint="eastAsia" w:ascii="宋体" w:hAnsi="宋体" w:cs="宋体"/>
                <w:szCs w:val="21"/>
                <w:lang w:bidi="ar"/>
              </w:rPr>
              <w:t>投标实物样品的印刷字体不清晰或产品不符合用户需求或产品上的标示(警示或注意事项)不详细规范或质量可靠性低或与技术参数符合性低，得</w:t>
            </w:r>
            <w:r>
              <w:rPr>
                <w:rFonts w:hint="default" w:ascii="宋体" w:hAnsi="宋体" w:cs="宋体"/>
                <w:szCs w:val="21"/>
                <w:lang w:bidi="ar"/>
              </w:rPr>
              <w:t>1</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5.</w:t>
            </w:r>
            <w:r>
              <w:rPr>
                <w:rFonts w:hint="eastAsia" w:ascii="宋体" w:hAnsi="宋体" w:cs="宋体"/>
                <w:szCs w:val="21"/>
                <w:lang w:bidi="ar"/>
              </w:rPr>
              <w:t>未提供样品的，得0分。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1</w:t>
            </w:r>
            <w:r>
              <w:rPr>
                <w:rFonts w:hint="default" w:ascii="宋体" w:hAnsi="宋体" w:cs="宋体"/>
                <w:szCs w:val="21"/>
                <w:lang w:bidi="ar"/>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置换物资配送方案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eastAsia" w:ascii="宋体" w:hAnsi="宋体" w:cs="宋体"/>
                <w:szCs w:val="21"/>
                <w:lang w:bidi="ar"/>
              </w:rPr>
              <w:t>根据供应商针对本项目编制具体的置换物资配送方案(包括但不限于需求收集、配送频次、人员分配等方面)进行综合评审: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eastAsia" w:ascii="宋体" w:hAnsi="宋体" w:cs="宋体"/>
                <w:szCs w:val="21"/>
                <w:lang w:bidi="ar"/>
              </w:rPr>
              <w:t>1</w:t>
            </w:r>
            <w:r>
              <w:rPr>
                <w:rFonts w:hint="default" w:ascii="宋体" w:hAnsi="宋体" w:cs="宋体"/>
                <w:szCs w:val="21"/>
                <w:lang w:bidi="ar"/>
              </w:rPr>
              <w:t>.</w:t>
            </w:r>
            <w:r>
              <w:rPr>
                <w:rFonts w:hint="eastAsia" w:ascii="宋体" w:hAnsi="宋体" w:cs="宋体"/>
                <w:szCs w:val="21"/>
                <w:lang w:bidi="ar"/>
              </w:rPr>
              <w:t>涵盖上述所有内容且配送方案详细完整，清晰全面，严谨规范的，优于采购需求的，得</w:t>
            </w:r>
            <w:r>
              <w:rPr>
                <w:rFonts w:hint="default" w:ascii="宋体" w:hAnsi="宋体" w:cs="宋体"/>
                <w:szCs w:val="21"/>
                <w:lang w:bidi="ar"/>
              </w:rPr>
              <w:t>12</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2.</w:t>
            </w:r>
            <w:r>
              <w:rPr>
                <w:rFonts w:hint="eastAsia" w:ascii="宋体" w:hAnsi="宋体" w:cs="宋体"/>
                <w:szCs w:val="21"/>
                <w:lang w:bidi="ar"/>
              </w:rPr>
              <w:t>涵盖上述所有内容且配送方案完整但不具体，清晰但不全面，规范但不严谨的，满足采购需求的，得</w:t>
            </w:r>
            <w:r>
              <w:rPr>
                <w:rFonts w:hint="default" w:ascii="宋体" w:hAnsi="宋体" w:cs="宋体"/>
                <w:szCs w:val="21"/>
                <w:lang w:bidi="ar"/>
              </w:rPr>
              <w:t>8</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3.</w:t>
            </w:r>
            <w:r>
              <w:rPr>
                <w:rFonts w:hint="eastAsia" w:ascii="宋体" w:hAnsi="宋体" w:cs="宋体"/>
                <w:szCs w:val="21"/>
                <w:lang w:bidi="ar"/>
              </w:rPr>
              <w:t>涵盖上述所有内容且配送方案不完整，不清晰，不规范，不满足采购需求的，得</w:t>
            </w:r>
            <w:r>
              <w:rPr>
                <w:rFonts w:hint="default" w:ascii="宋体" w:hAnsi="宋体" w:cs="宋体"/>
                <w:szCs w:val="21"/>
                <w:lang w:bidi="ar"/>
              </w:rPr>
              <w:t>3</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4.</w:t>
            </w:r>
            <w:r>
              <w:rPr>
                <w:rFonts w:hint="eastAsia" w:ascii="宋体" w:hAnsi="宋体" w:cs="宋体"/>
                <w:szCs w:val="21"/>
                <w:lang w:bidi="ar"/>
              </w:rPr>
              <w:t>未提供对应方案的，得0分。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1</w:t>
            </w:r>
            <w:r>
              <w:rPr>
                <w:rFonts w:hint="default" w:ascii="宋体" w:hAnsi="宋体" w:cs="宋体"/>
                <w:szCs w:val="21"/>
                <w:lang w:bidi="ar"/>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eastAsia" w:ascii="宋体" w:hAnsi="宋体" w:cs="宋体"/>
                <w:szCs w:val="21"/>
                <w:lang w:bidi="ar"/>
              </w:rPr>
              <w:t>安全生产管理方案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根据供应商对本项目的安全生产方案进行评审：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1.安全生产管理架构和措施、安全生产作业方案合理，可行性高，完全满足采购需求的，得11分；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2.安全生产管理架构和措施、安全生产作业方案较合理，可行性较高，基本满足采购需求得，得7分；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3.安全生产管理架构和措施、安全生产作业方案不够合理，可行性差，不满足采购需求的，得3分；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4.不提供安全生产管理架构和措施、安全生产作业方案的，得0分。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default" w:ascii="宋体" w:hAnsi="宋体" w:cs="宋体"/>
                <w:szCs w:val="21"/>
                <w:lang w:bidi="ar"/>
              </w:rPr>
              <w:t>11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color w:val="000000"/>
                <w:szCs w:val="21"/>
                <w:lang w:bidi="ar"/>
              </w:rPr>
              <w:t>应急服务方案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color w:val="000000"/>
                <w:szCs w:val="21"/>
              </w:rPr>
            </w:pPr>
            <w:r>
              <w:rPr>
                <w:rFonts w:hint="eastAsia" w:ascii="宋体" w:hAnsi="宋体" w:cs="宋体"/>
                <w:color w:val="000000"/>
                <w:szCs w:val="21"/>
                <w:lang w:bidi="ar"/>
              </w:rPr>
              <w:t>根据供应商对本项目制定的应急服务方案（包括但不限于可回收物收运及置换物质配送的应急实施方案、服务响应时间、应急支援人员配备情况、应急车辆安排等）进行评审：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color w:val="000000"/>
                <w:szCs w:val="21"/>
              </w:rPr>
            </w:pPr>
            <w:r>
              <w:rPr>
                <w:rFonts w:hint="eastAsia" w:ascii="宋体" w:hAnsi="宋体" w:cs="宋体"/>
                <w:color w:val="000000"/>
                <w:szCs w:val="21"/>
                <w:lang w:bidi="ar"/>
              </w:rPr>
              <w:t>1.方案合理，可行性高</w:t>
            </w:r>
            <w:r>
              <w:rPr>
                <w:rFonts w:hint="eastAsia" w:ascii="宋体" w:hAnsi="宋体" w:cs="宋体"/>
                <w:bCs/>
                <w:color w:val="000000"/>
                <w:szCs w:val="21"/>
                <w:lang w:bidi="ar"/>
              </w:rPr>
              <w:t>，</w:t>
            </w:r>
            <w:r>
              <w:rPr>
                <w:rFonts w:hint="eastAsia" w:ascii="宋体" w:hAnsi="宋体" w:cs="宋体"/>
                <w:color w:val="000000"/>
                <w:szCs w:val="21"/>
                <w:lang w:bidi="ar"/>
              </w:rPr>
              <w:t>切合项目实际，</w:t>
            </w:r>
            <w:r>
              <w:rPr>
                <w:rFonts w:hint="eastAsia" w:ascii="宋体" w:hAnsi="宋体" w:cs="宋体"/>
                <w:bCs/>
                <w:color w:val="000000"/>
                <w:szCs w:val="21"/>
                <w:lang w:bidi="ar"/>
              </w:rPr>
              <w:t>得11分；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color w:val="000000"/>
                <w:szCs w:val="21"/>
              </w:rPr>
            </w:pPr>
            <w:r>
              <w:rPr>
                <w:rFonts w:hint="eastAsia" w:ascii="宋体" w:hAnsi="宋体" w:cs="宋体"/>
                <w:color w:val="000000"/>
                <w:szCs w:val="21"/>
                <w:lang w:bidi="ar"/>
              </w:rPr>
              <w:t>2.方案较合理，可行性较高，基本符合项目实际</w:t>
            </w:r>
            <w:r>
              <w:rPr>
                <w:rFonts w:hint="eastAsia" w:ascii="宋体" w:hAnsi="宋体" w:cs="宋体"/>
                <w:bCs/>
                <w:color w:val="000000"/>
                <w:szCs w:val="21"/>
                <w:lang w:bidi="ar"/>
              </w:rPr>
              <w:t>，得7分；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color w:val="000000"/>
                <w:szCs w:val="21"/>
              </w:rPr>
            </w:pPr>
            <w:r>
              <w:rPr>
                <w:rFonts w:hint="eastAsia" w:ascii="宋体" w:hAnsi="宋体" w:cs="宋体"/>
                <w:color w:val="000000"/>
                <w:szCs w:val="21"/>
                <w:lang w:bidi="ar"/>
              </w:rPr>
              <w:t>3.方案不够合理，可行性差</w:t>
            </w:r>
            <w:r>
              <w:rPr>
                <w:rFonts w:hint="eastAsia" w:ascii="宋体" w:hAnsi="宋体" w:cs="宋体"/>
                <w:bCs/>
                <w:color w:val="000000"/>
                <w:szCs w:val="21"/>
                <w:lang w:bidi="ar"/>
              </w:rPr>
              <w:t>，不</w:t>
            </w:r>
            <w:r>
              <w:rPr>
                <w:rFonts w:hint="eastAsia" w:ascii="宋体" w:hAnsi="宋体" w:cs="宋体"/>
                <w:color w:val="000000"/>
                <w:szCs w:val="21"/>
                <w:lang w:bidi="ar"/>
              </w:rPr>
              <w:t>符合项目实际</w:t>
            </w:r>
            <w:r>
              <w:rPr>
                <w:rFonts w:hint="eastAsia" w:ascii="宋体" w:hAnsi="宋体" w:cs="宋体"/>
                <w:bCs/>
                <w:color w:val="000000"/>
                <w:szCs w:val="21"/>
                <w:lang w:bidi="ar"/>
              </w:rPr>
              <w:t>，得3分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color w:val="000000"/>
                <w:szCs w:val="21"/>
              </w:rPr>
            </w:pPr>
            <w:r>
              <w:rPr>
                <w:rFonts w:hint="eastAsia" w:ascii="宋体" w:hAnsi="宋体" w:cs="宋体"/>
                <w:color w:val="000000"/>
                <w:szCs w:val="21"/>
                <w:lang w:bidi="ar"/>
              </w:rPr>
              <w:t>4.不提供应急服务方案的，得0分</w:t>
            </w:r>
            <w:r>
              <w:rPr>
                <w:rFonts w:hint="eastAsia" w:ascii="宋体" w:hAnsi="宋体" w:cs="宋体"/>
                <w:bCs/>
                <w:color w:val="000000"/>
                <w:szCs w:val="21"/>
                <w:lang w:bidi="ar"/>
              </w:rPr>
              <w:t>。</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11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jc w:val="center"/>
        </w:trPr>
        <w:tc>
          <w:tcPr>
            <w:tcW w:w="4625" w:type="pct"/>
            <w:gridSpan w:val="2"/>
            <w:tcBorders>
              <w:right w:val="single" w:color="auto" w:sz="2" w:space="0"/>
            </w:tcBorders>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eastAsia" w:ascii="宋体" w:hAnsi="宋体" w:cs="宋体"/>
                <w:szCs w:val="21"/>
              </w:rPr>
              <w:t>合计</w:t>
            </w:r>
          </w:p>
        </w:tc>
        <w:tc>
          <w:tcPr>
            <w:tcW w:w="375" w:type="pct"/>
            <w:tcBorders>
              <w:right w:val="single" w:color="auto" w:sz="2" w:space="0"/>
            </w:tcBorders>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eastAsia" w:ascii="宋体" w:hAnsi="宋体" w:cs="宋体"/>
                <w:szCs w:val="21"/>
              </w:rPr>
              <w:t>5</w:t>
            </w:r>
            <w:r>
              <w:rPr>
                <w:rFonts w:hint="default" w:ascii="宋体" w:hAnsi="宋体" w:cs="宋体"/>
                <w:szCs w:val="21"/>
              </w:rPr>
              <w:t>8</w:t>
            </w:r>
          </w:p>
        </w:tc>
      </w:tr>
    </w:tbl>
    <w:p>
      <w:pPr>
        <w:spacing w:line="330" w:lineRule="exact"/>
        <w:jc w:val="center"/>
        <w:rPr>
          <w:rFonts w:ascii="宋体" w:hAnsi="宋体"/>
          <w:b/>
          <w:sz w:val="28"/>
          <w:szCs w:val="28"/>
        </w:rPr>
        <w:sectPr>
          <w:pgSz w:w="11906" w:h="16838"/>
          <w:pgMar w:top="1440" w:right="1800" w:bottom="1440" w:left="1800" w:header="851" w:footer="992" w:gutter="0"/>
          <w:cols w:space="720" w:num="1"/>
          <w:docGrid w:type="lines" w:linePitch="312" w:charSpace="0"/>
        </w:sectPr>
      </w:pPr>
    </w:p>
    <w:p>
      <w:pPr>
        <w:pStyle w:val="5"/>
        <w:rPr>
          <w:rFonts w:asciiTheme="minorEastAsia" w:hAnsiTheme="minorEastAsia" w:eastAsiaTheme="minorEastAsia"/>
          <w:sz w:val="24"/>
          <w:szCs w:val="24"/>
        </w:rPr>
      </w:pPr>
    </w:p>
    <w:p>
      <w:pPr>
        <w:pStyle w:val="5"/>
        <w:rPr>
          <w:rFonts w:asciiTheme="minorEastAsia" w:hAnsiTheme="minorEastAsia" w:eastAsiaTheme="minorEastAsia"/>
          <w:sz w:val="24"/>
          <w:szCs w:val="24"/>
        </w:rPr>
      </w:pPr>
      <w:r>
        <w:rPr>
          <w:rFonts w:hint="eastAsia" w:asciiTheme="minorEastAsia" w:hAnsiTheme="minorEastAsia" w:eastAsiaTheme="minorEastAsia"/>
          <w:sz w:val="24"/>
          <w:szCs w:val="24"/>
        </w:rPr>
        <w:t>（2）报价得分：</w:t>
      </w:r>
    </w:p>
    <w:p>
      <w:pPr>
        <w:pStyle w:val="5"/>
        <w:spacing w:line="520" w:lineRule="exac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置换物资价格分统一采用低价优先法计算，</w:t>
      </w:r>
      <w:r>
        <w:rPr>
          <w:rFonts w:hint="eastAsia" w:asciiTheme="minorEastAsia" w:hAnsiTheme="minorEastAsia" w:eastAsiaTheme="minorEastAsia"/>
          <w:sz w:val="24"/>
          <w:szCs w:val="24"/>
          <w:lang w:val="en-US" w:eastAsia="zh-CN"/>
        </w:rPr>
        <w:t>满分10分。</w:t>
      </w:r>
      <w:r>
        <w:rPr>
          <w:rFonts w:hint="eastAsia" w:asciiTheme="minorEastAsia" w:hAnsiTheme="minorEastAsia" w:eastAsiaTheme="minorEastAsia"/>
          <w:sz w:val="24"/>
          <w:szCs w:val="24"/>
        </w:rPr>
        <w:t>满足询比文件要求且折扣率报价最低的报价为评标基准价，其价格分为满分。价格分计算公式：</w:t>
      </w:r>
    </w:p>
    <w:p>
      <w:pPr>
        <w:pStyle w:val="5"/>
        <w:spacing w:line="520" w:lineRule="exact"/>
        <w:ind w:firstLine="0"/>
        <w:rPr>
          <w:rFonts w:hint="default"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rPr>
        <w:t>置换物资得分 =（评标基准折扣率 / 供应商报价折扣率）×</w:t>
      </w:r>
      <w:r>
        <w:rPr>
          <w:rFonts w:hint="eastAsia" w:asciiTheme="minorEastAsia" w:hAnsiTheme="minorEastAsia" w:eastAsiaTheme="minorEastAsia"/>
          <w:b/>
          <w:sz w:val="24"/>
          <w:szCs w:val="24"/>
          <w:lang w:val="en-US" w:eastAsia="zh-CN"/>
        </w:rPr>
        <w:t>10。</w:t>
      </w:r>
    </w:p>
    <w:p>
      <w:pPr>
        <w:pStyle w:val="5"/>
        <w:spacing w:line="520" w:lineRule="exac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可回收物价格分统一采用高价优先法计算，</w:t>
      </w:r>
      <w:r>
        <w:rPr>
          <w:rFonts w:hint="eastAsia" w:asciiTheme="minorEastAsia" w:hAnsiTheme="minorEastAsia" w:eastAsiaTheme="minorEastAsia"/>
          <w:sz w:val="24"/>
          <w:szCs w:val="24"/>
          <w:lang w:val="en-US" w:eastAsia="zh-CN"/>
        </w:rPr>
        <w:t>满分10分。</w:t>
      </w:r>
      <w:r>
        <w:rPr>
          <w:rFonts w:hint="eastAsia" w:asciiTheme="minorEastAsia" w:hAnsiTheme="minorEastAsia" w:eastAsiaTheme="minorEastAsia"/>
          <w:sz w:val="24"/>
          <w:szCs w:val="24"/>
        </w:rPr>
        <w:t>满足询比文件要求且上浮率报价最高的报价为评标基准价，其价格分为满分。价格分计算公式：</w:t>
      </w:r>
    </w:p>
    <w:p>
      <w:pPr>
        <w:keepNext w:val="0"/>
        <w:keepLines w:val="0"/>
        <w:widowControl/>
        <w:suppressLineNumbers w:val="0"/>
        <w:spacing w:before="0" w:beforeAutospacing="0" w:after="0" w:afterAutospacing="0" w:line="520" w:lineRule="exact"/>
        <w:ind w:left="0" w:right="0"/>
        <w:jc w:val="left"/>
        <w:outlineLvl w:val="9"/>
        <w:rPr>
          <w:rFonts w:hint="eastAsia" w:asciiTheme="minorEastAsia" w:hAnsiTheme="minorEastAsia" w:eastAsiaTheme="minorEastAsia"/>
          <w:b/>
          <w:sz w:val="24"/>
        </w:rPr>
      </w:pPr>
      <w:r>
        <w:rPr>
          <w:rFonts w:hint="eastAsia" w:asciiTheme="minorEastAsia" w:hAnsiTheme="minorEastAsia" w:eastAsiaTheme="minorEastAsia"/>
          <w:b/>
          <w:sz w:val="24"/>
          <w:szCs w:val="24"/>
        </w:rPr>
        <w:t>可回收物得分 =（供应商报价上浮率 / 评标基准上浮率）×10</w:t>
      </w:r>
      <w:r>
        <w:rPr>
          <w:rFonts w:hint="eastAsia" w:asciiTheme="minorEastAsia" w:hAnsiTheme="minorEastAsia" w:eastAsiaTheme="minorEastAsia"/>
          <w:b/>
          <w:sz w:val="24"/>
          <w:szCs w:val="24"/>
          <w:lang w:eastAsia="zh-CN"/>
        </w:rPr>
        <w:t>。</w:t>
      </w:r>
      <w:r>
        <w:rPr>
          <w:rFonts w:hint="eastAsia" w:asciiTheme="minorEastAsia" w:hAnsiTheme="minorEastAsia" w:eastAsiaTheme="minorEastAsia"/>
          <w:b/>
          <w:sz w:val="24"/>
        </w:rPr>
        <w:t xml:space="preserve">   </w:t>
      </w:r>
    </w:p>
    <w:p>
      <w:pPr>
        <w:keepNext w:val="0"/>
        <w:keepLines w:val="0"/>
        <w:widowControl w:val="0"/>
        <w:suppressLineNumbers w:val="0"/>
        <w:spacing w:before="0" w:beforeAutospacing="0" w:after="0" w:afterAutospacing="0" w:line="520" w:lineRule="exact"/>
        <w:ind w:left="0" w:right="0" w:firstLine="480" w:firstLineChars="200"/>
        <w:jc w:val="left"/>
        <w:outlineLvl w:val="9"/>
        <w:rPr>
          <w:rFonts w:hint="eastAsia" w:eastAsia="宋体"/>
          <w:lang w:eastAsia="zh-CN"/>
        </w:rPr>
      </w:pPr>
      <w:r>
        <w:rPr>
          <w:rFonts w:hint="eastAsia" w:asciiTheme="minorEastAsia" w:hAnsiTheme="minorEastAsia" w:eastAsiaTheme="minorEastAsia"/>
          <w:b/>
          <w:sz w:val="24"/>
          <w:lang w:val="en-US" w:eastAsia="zh-CN"/>
        </w:rPr>
        <w:t>3.</w:t>
      </w:r>
      <w:r>
        <w:rPr>
          <w:rFonts w:hint="eastAsia" w:asciiTheme="minorEastAsia" w:hAnsiTheme="minorEastAsia" w:eastAsiaTheme="minorEastAsia"/>
          <w:b/>
          <w:sz w:val="24"/>
        </w:rPr>
        <w:t>价格总得分= 置换物资得分 + 可回收物得分</w:t>
      </w:r>
      <w:r>
        <w:rPr>
          <w:rFonts w:hint="eastAsia" w:asciiTheme="minorEastAsia" w:hAnsiTheme="minorEastAsia" w:eastAsiaTheme="minorEastAsia"/>
          <w:b/>
          <w:sz w:val="24"/>
          <w:lang w:eastAsia="zh-CN"/>
        </w:rPr>
        <w:t>，</w:t>
      </w:r>
      <w:r>
        <w:rPr>
          <w:rStyle w:val="40"/>
          <w:rFonts w:ascii="Segoe UI" w:hAnsi="Segoe UI" w:eastAsia="Segoe UI" w:cs="Segoe UI"/>
          <w:b/>
          <w:bCs/>
          <w:i w:val="0"/>
          <w:iCs w:val="0"/>
          <w:caps w:val="0"/>
          <w:color w:val="0F1115"/>
          <w:spacing w:val="0"/>
          <w:sz w:val="24"/>
          <w:szCs w:val="24"/>
          <w:shd w:val="clear" w:fill="FFFFFF"/>
        </w:rPr>
        <w:t>满分20分</w:t>
      </w:r>
      <w:r>
        <w:rPr>
          <w:rStyle w:val="40"/>
          <w:rFonts w:hint="eastAsia" w:ascii="Segoe UI" w:hAnsi="Segoe UI" w:cs="Segoe UI"/>
          <w:b/>
          <w:bCs/>
          <w:i w:val="0"/>
          <w:iCs w:val="0"/>
          <w:caps w:val="0"/>
          <w:color w:val="0F1115"/>
          <w:spacing w:val="0"/>
          <w:sz w:val="24"/>
          <w:szCs w:val="24"/>
          <w:shd w:val="clear" w:fill="FFFFFF"/>
          <w:lang w:eastAsia="zh-CN"/>
        </w:rPr>
        <w:t>。</w:t>
      </w:r>
    </w:p>
    <w:p>
      <w:pPr>
        <w:spacing w:line="312" w:lineRule="auto"/>
        <w:jc w:val="left"/>
        <w:outlineLvl w:val="9"/>
        <w:rPr>
          <w:rFonts w:asciiTheme="minorEastAsia" w:hAnsiTheme="minorEastAsia" w:eastAsiaTheme="minorEastAsia"/>
          <w:b/>
          <w:sz w:val="32"/>
        </w:rPr>
      </w:pPr>
      <w:r>
        <w:rPr>
          <w:rFonts w:hint="eastAsia" w:asciiTheme="minorEastAsia" w:hAnsiTheme="minorEastAsia" w:eastAsiaTheme="minorEastAsia"/>
          <w:b/>
          <w:sz w:val="32"/>
        </w:rPr>
        <w:br w:type="page"/>
      </w:r>
    </w:p>
    <w:p>
      <w:pPr>
        <w:spacing w:line="312" w:lineRule="auto"/>
        <w:jc w:val="left"/>
        <w:outlineLvl w:val="9"/>
        <w:rPr>
          <w:rFonts w:asciiTheme="minorEastAsia" w:hAnsiTheme="minorEastAsia" w:eastAsiaTheme="minorEastAsia"/>
          <w:b/>
          <w:sz w:val="32"/>
        </w:rPr>
      </w:pPr>
    </w:p>
    <w:p>
      <w:pPr>
        <w:spacing w:line="312" w:lineRule="auto"/>
        <w:jc w:val="left"/>
        <w:outlineLvl w:val="0"/>
        <w:rPr>
          <w:rFonts w:asciiTheme="minorEastAsia" w:hAnsiTheme="minorEastAsia" w:eastAsiaTheme="minorEastAsia"/>
          <w:b/>
          <w:sz w:val="32"/>
        </w:rPr>
      </w:pPr>
      <w:r>
        <w:rPr>
          <w:rFonts w:hint="eastAsia" w:asciiTheme="minorEastAsia" w:hAnsiTheme="minorEastAsia" w:eastAsiaTheme="minorEastAsia"/>
          <w:b/>
          <w:sz w:val="32"/>
        </w:rPr>
        <w:t>第五部分  合同书格式</w:t>
      </w:r>
      <w:bookmarkEnd w:id="49"/>
    </w:p>
    <w:p>
      <w:pPr>
        <w:spacing w:line="360" w:lineRule="auto"/>
      </w:pPr>
      <w:r>
        <w:rPr>
          <w:rFonts w:hint="eastAsia" w:ascii="宋体" w:hAnsi="宋体"/>
          <w:b/>
          <w:color w:val="000000"/>
          <w:sz w:val="24"/>
        </w:rPr>
        <w:t xml:space="preserve">                                 </w:t>
      </w:r>
    </w:p>
    <w:p>
      <w:pPr>
        <w:spacing w:line="360" w:lineRule="auto"/>
        <w:rPr>
          <w:rFonts w:ascii="宋体" w:hAnsi="宋体"/>
          <w:b/>
          <w:color w:val="000000"/>
          <w:sz w:val="24"/>
        </w:rPr>
      </w:pPr>
      <w:r>
        <w:rPr>
          <w:rFonts w:hint="eastAsia" w:ascii="宋体" w:hAnsi="宋体"/>
          <w:b/>
          <w:color w:val="000000"/>
          <w:sz w:val="24"/>
        </w:rPr>
        <w:t xml:space="preserve">          </w:t>
      </w:r>
    </w:p>
    <w:p>
      <w:pPr>
        <w:tabs>
          <w:tab w:val="left" w:pos="8235"/>
        </w:tabs>
        <w:spacing w:line="360" w:lineRule="auto"/>
        <w:rPr>
          <w:rFonts w:ascii="宋体" w:hAnsi="宋体"/>
          <w:b/>
          <w:sz w:val="28"/>
          <w:szCs w:val="28"/>
        </w:rPr>
      </w:pPr>
      <w:r>
        <w:rPr>
          <w:rFonts w:hint="eastAsia" w:ascii="宋体" w:hAnsi="宋体"/>
          <w:b/>
          <w:sz w:val="28"/>
          <w:szCs w:val="28"/>
        </w:rPr>
        <w:t xml:space="preserve">合同编号：      </w:t>
      </w:r>
    </w:p>
    <w:p>
      <w:pPr>
        <w:tabs>
          <w:tab w:val="left" w:pos="8235"/>
        </w:tabs>
        <w:spacing w:line="360" w:lineRule="auto"/>
        <w:ind w:firstLine="5157" w:firstLineChars="1840"/>
        <w:rPr>
          <w:rFonts w:ascii="宋体" w:hAnsi="宋体"/>
          <w:b/>
          <w:sz w:val="28"/>
          <w:szCs w:val="28"/>
        </w:rPr>
      </w:pPr>
      <w:r>
        <w:rPr>
          <w:rFonts w:ascii="宋体" w:hAnsi="宋体"/>
          <w:b/>
          <w:sz w:val="28"/>
          <w:szCs w:val="28"/>
        </w:rPr>
        <w:drawing>
          <wp:inline distT="0" distB="0" distL="0" distR="0">
            <wp:extent cx="923925" cy="948055"/>
            <wp:effectExtent l="0" t="0" r="0" b="0"/>
            <wp:docPr id="1" name="图片 1" descr="说明: 说明: 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说明: 未标题-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23925" cy="948673"/>
                    </a:xfrm>
                    <a:prstGeom prst="rect">
                      <a:avLst/>
                    </a:prstGeom>
                    <a:noFill/>
                    <a:ln>
                      <a:noFill/>
                    </a:ln>
                  </pic:spPr>
                </pic:pic>
              </a:graphicData>
            </a:graphic>
          </wp:inline>
        </w:drawing>
      </w:r>
    </w:p>
    <w:p>
      <w:pPr>
        <w:tabs>
          <w:tab w:val="left" w:pos="8235"/>
        </w:tabs>
        <w:spacing w:line="360" w:lineRule="auto"/>
        <w:ind w:firstLine="3360" w:firstLineChars="1600"/>
        <w:rPr>
          <w:rFonts w:ascii="宋体" w:hAnsi="宋体"/>
          <w:b/>
          <w:sz w:val="28"/>
          <w:szCs w:val="28"/>
        </w:rPr>
      </w:pPr>
      <w:r>
        <mc:AlternateContent>
          <mc:Choice Requires="wps">
            <w:drawing>
              <wp:inline distT="0" distB="0" distL="114300" distR="114300">
                <wp:extent cx="1684020" cy="480060"/>
                <wp:effectExtent l="0" t="0" r="0" b="0"/>
                <wp:docPr id="2" name="WordArt 1"/>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84020" cy="480060"/>
                        </a:xfrm>
                        <a:prstGeom prst="rect">
                          <a:avLst/>
                        </a:prstGeom>
                        <a:noFill/>
                        <a:ln>
                          <a:noFill/>
                        </a:ln>
                        <a:effectLst/>
                      </wps:spPr>
                      <wps:txbx>
                        <w:txbxContent>
                          <w:p>
                            <w:pPr>
                              <w:jc w:val="center"/>
                              <w:rPr>
                                <w:kern w:val="0"/>
                                <w:sz w:val="24"/>
                              </w:rPr>
                            </w:pPr>
                            <w:r>
                              <w:rPr>
                                <w:rFonts w:hint="eastAsia"/>
                                <w:color w:val="7030A0"/>
                              </w:rPr>
                              <w:t>Panyu Central Hospital</w:t>
                            </w:r>
                          </w:p>
                        </w:txbxContent>
                      </wps:txbx>
                      <wps:bodyPr wrap="square" numCol="1" fromWordArt="1">
                        <a:prstTxWarp prst="textCanDown">
                          <a:avLst>
                            <a:gd name="adj" fmla="val 33333"/>
                          </a:avLst>
                        </a:prstTxWarp>
                        <a:spAutoFit/>
                      </wps:bodyPr>
                    </wps:wsp>
                  </a:graphicData>
                </a:graphic>
              </wp:inline>
            </w:drawing>
          </mc:Choice>
          <mc:Fallback>
            <w:pict>
              <v:shape id="WordArt 1" o:spid="_x0000_s1026" o:spt="202" type="#_x0000_t202" style="height:37.8pt;width:132.6pt;" filled="f" stroked="f" coordsize="21600,21600" o:gfxdata="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FkYf9zTAAAABAEAAA8AAAAAAAAAAQAgAAAAOAAAAGRycy9kb3du&#10;cmV2LnhtbFBLAQIUABQAAAAIAIdO4kDqQOi8JwIAAFoEAAAOAAAAAAAAAAEAIAAAADgBAABkcnMv&#10;ZTJvRG9jLnhtbFBLBQYAAAAABgAGAFkBAADRBQAAAAA=&#10;" adj="7200">
                <v:fill on="f" focussize="0,0"/>
                <v:stroke on="f"/>
                <v:imagedata o:title=""/>
                <o:lock v:ext="edit" text="t" aspectratio="f"/>
                <v:textbox style="mso-fit-shape-to-text:t;">
                  <w:txbxContent>
                    <w:p>
                      <w:pPr>
                        <w:jc w:val="center"/>
                        <w:rPr>
                          <w:kern w:val="0"/>
                          <w:sz w:val="24"/>
                        </w:rPr>
                      </w:pPr>
                      <w:r>
                        <w:rPr>
                          <w:rFonts w:hint="eastAsia"/>
                          <w:color w:val="7030A0"/>
                        </w:rPr>
                        <w:t>Panyu Central Hospital</w:t>
                      </w:r>
                    </w:p>
                  </w:txbxContent>
                </v:textbox>
                <w10:wrap type="none"/>
                <w10:anchorlock/>
              </v:shape>
            </w:pict>
          </mc:Fallback>
        </mc:AlternateContent>
      </w:r>
    </w:p>
    <w:p>
      <w:pPr>
        <w:tabs>
          <w:tab w:val="left" w:pos="8235"/>
        </w:tabs>
        <w:spacing w:line="360" w:lineRule="auto"/>
        <w:ind w:left="5594" w:hanging="5578" w:hangingChars="1990"/>
        <w:rPr>
          <w:rFonts w:ascii="宋体" w:hAnsi="宋体"/>
          <w:b/>
          <w:sz w:val="28"/>
          <w:szCs w:val="28"/>
        </w:rPr>
      </w:pPr>
    </w:p>
    <w:p>
      <w:pPr>
        <w:spacing w:line="360" w:lineRule="auto"/>
        <w:jc w:val="center"/>
        <w:rPr>
          <w:rFonts w:ascii="宋体" w:hAnsi="宋体"/>
          <w:b/>
          <w:sz w:val="44"/>
        </w:rPr>
      </w:pPr>
    </w:p>
    <w:p>
      <w:pPr>
        <w:spacing w:line="360" w:lineRule="auto"/>
        <w:jc w:val="center"/>
        <w:rPr>
          <w:rFonts w:ascii="宋体" w:hAnsi="宋体"/>
          <w:b/>
          <w:sz w:val="48"/>
          <w:szCs w:val="48"/>
        </w:rPr>
      </w:pPr>
      <w:r>
        <w:rPr>
          <w:rFonts w:hint="eastAsia" w:ascii="宋体" w:hAnsi="宋体"/>
          <w:b/>
          <w:sz w:val="48"/>
          <w:szCs w:val="48"/>
        </w:rPr>
        <w:t>广州医科大学附属番禺中心医院</w:t>
      </w:r>
    </w:p>
    <w:p>
      <w:pPr>
        <w:spacing w:line="360" w:lineRule="auto"/>
        <w:ind w:firstLine="2162" w:firstLineChars="450"/>
        <w:rPr>
          <w:rFonts w:ascii="宋体" w:hAnsi="宋体"/>
          <w:b/>
          <w:sz w:val="48"/>
          <w:szCs w:val="48"/>
        </w:rPr>
      </w:pPr>
      <w:r>
        <w:rPr>
          <w:rFonts w:hint="eastAsia" w:ascii="宋体" w:hAnsi="宋体"/>
          <w:b/>
          <w:sz w:val="48"/>
          <w:szCs w:val="48"/>
        </w:rPr>
        <w:t>服务类采购合同书</w:t>
      </w:r>
    </w:p>
    <w:p>
      <w:pPr>
        <w:spacing w:line="360" w:lineRule="auto"/>
        <w:rPr>
          <w:rFonts w:ascii="宋体" w:hAnsi="宋体"/>
          <w:b/>
          <w:sz w:val="44"/>
        </w:rPr>
      </w:pPr>
    </w:p>
    <w:p>
      <w:pPr>
        <w:spacing w:line="360" w:lineRule="auto"/>
        <w:rPr>
          <w:rFonts w:ascii="宋体" w:hAnsi="宋体"/>
          <w:b/>
          <w:sz w:val="44"/>
        </w:rPr>
      </w:pPr>
    </w:p>
    <w:p>
      <w:pPr>
        <w:spacing w:line="360" w:lineRule="auto"/>
        <w:rPr>
          <w:rFonts w:hint="eastAsia" w:ascii="宋体" w:hAnsi="宋体" w:eastAsia="宋体"/>
          <w:b/>
          <w:sz w:val="30"/>
          <w:u w:val="single"/>
          <w:lang w:eastAsia="zh-CN"/>
        </w:rPr>
      </w:pPr>
      <w:r>
        <w:rPr>
          <w:rFonts w:hint="eastAsia" w:ascii="宋体" w:hAnsi="宋体"/>
          <w:b/>
          <w:sz w:val="30"/>
        </w:rPr>
        <w:t>合 同 名 称：</w:t>
      </w:r>
      <w:r>
        <w:rPr>
          <w:rFonts w:hint="eastAsia" w:ascii="宋体" w:hAnsi="宋体"/>
          <w:b/>
          <w:sz w:val="30"/>
          <w:u w:val="single"/>
        </w:rPr>
        <w:t>广州医科大学附属番禺中心医院医疗集团可回收物服务项目</w:t>
      </w:r>
      <w:r>
        <w:rPr>
          <w:rFonts w:hint="eastAsia" w:ascii="宋体" w:hAnsi="宋体"/>
          <w:b/>
          <w:sz w:val="30"/>
          <w:u w:val="single"/>
          <w:lang w:eastAsia="zh-CN"/>
        </w:rPr>
        <w:t>（</w:t>
      </w:r>
      <w:r>
        <w:rPr>
          <w:rFonts w:hint="eastAsia" w:ascii="宋体" w:hAnsi="宋体"/>
          <w:b/>
          <w:sz w:val="30"/>
          <w:u w:val="single"/>
          <w:lang w:val="en-US" w:eastAsia="zh-CN"/>
        </w:rPr>
        <w:t>三次</w:t>
      </w:r>
      <w:r>
        <w:rPr>
          <w:rFonts w:hint="eastAsia" w:ascii="宋体" w:hAnsi="宋体"/>
          <w:b/>
          <w:sz w:val="30"/>
          <w:u w:val="single"/>
          <w:lang w:eastAsia="zh-CN"/>
        </w:rPr>
        <w:t>）</w:t>
      </w:r>
    </w:p>
    <w:p>
      <w:pPr>
        <w:spacing w:line="360" w:lineRule="auto"/>
        <w:rPr>
          <w:rFonts w:ascii="宋体" w:hAnsi="宋体"/>
          <w:b/>
          <w:sz w:val="30"/>
          <w:u w:val="single"/>
        </w:rPr>
      </w:pPr>
      <w:r>
        <w:rPr>
          <w:rFonts w:hint="eastAsia" w:ascii="宋体" w:hAnsi="宋体"/>
          <w:b/>
          <w:sz w:val="30"/>
        </w:rPr>
        <w:t>合 同 公 司：</w:t>
      </w:r>
      <w:r>
        <w:rPr>
          <w:rFonts w:hint="eastAsia" w:ascii="宋体" w:hAnsi="宋体"/>
          <w:b/>
          <w:sz w:val="28"/>
          <w:szCs w:val="28"/>
          <w:u w:val="single"/>
        </w:rPr>
        <w:t xml:space="preserve"> </w:t>
      </w:r>
      <w:r>
        <w:rPr>
          <w:rFonts w:ascii="宋体" w:hAnsi="宋体"/>
          <w:b/>
          <w:sz w:val="28"/>
          <w:szCs w:val="28"/>
          <w:u w:val="single"/>
        </w:rPr>
        <w:t xml:space="preserve">                                    </w:t>
      </w:r>
    </w:p>
    <w:p>
      <w:pPr>
        <w:spacing w:line="360" w:lineRule="auto"/>
        <w:jc w:val="center"/>
        <w:rPr>
          <w:rFonts w:ascii="宋体" w:hAnsi="宋体"/>
          <w:b/>
          <w:sz w:val="30"/>
        </w:rPr>
      </w:pPr>
    </w:p>
    <w:p>
      <w:pPr>
        <w:spacing w:line="360" w:lineRule="auto"/>
        <w:rPr>
          <w:rFonts w:ascii="宋体" w:hAnsi="宋体"/>
          <w:b/>
          <w:sz w:val="30"/>
        </w:rPr>
      </w:pPr>
      <w:r>
        <w:rPr>
          <w:rFonts w:hint="eastAsia" w:ascii="宋体" w:hAnsi="宋体"/>
          <w:b/>
          <w:sz w:val="30"/>
        </w:rPr>
        <w:t>签 订 时 间：</w:t>
      </w:r>
      <w:r>
        <w:rPr>
          <w:rFonts w:hint="eastAsia" w:ascii="宋体" w:hAnsi="宋体"/>
          <w:b/>
          <w:sz w:val="30"/>
          <w:u w:val="single"/>
        </w:rPr>
        <w:t xml:space="preserve">     </w:t>
      </w:r>
      <w:r>
        <w:rPr>
          <w:rFonts w:hint="eastAsia" w:ascii="宋体" w:hAnsi="宋体"/>
          <w:b/>
          <w:sz w:val="30"/>
        </w:rPr>
        <w:t>年</w:t>
      </w:r>
      <w:r>
        <w:rPr>
          <w:rFonts w:hint="eastAsia" w:ascii="宋体" w:hAnsi="宋体"/>
          <w:b/>
          <w:sz w:val="30"/>
          <w:u w:val="single"/>
        </w:rPr>
        <w:t xml:space="preserve">     </w:t>
      </w:r>
      <w:r>
        <w:rPr>
          <w:rFonts w:hint="eastAsia" w:ascii="宋体" w:hAnsi="宋体"/>
          <w:b/>
          <w:sz w:val="30"/>
        </w:rPr>
        <w:t>月</w:t>
      </w:r>
      <w:r>
        <w:rPr>
          <w:rFonts w:hint="eastAsia" w:ascii="宋体" w:hAnsi="宋体"/>
          <w:b/>
          <w:sz w:val="30"/>
          <w:u w:val="single"/>
        </w:rPr>
        <w:t xml:space="preserve">      </w:t>
      </w:r>
      <w:r>
        <w:rPr>
          <w:rFonts w:hint="eastAsia" w:ascii="宋体" w:hAnsi="宋体"/>
          <w:b/>
          <w:sz w:val="30"/>
        </w:rPr>
        <w:t>日</w:t>
      </w:r>
    </w:p>
    <w:p>
      <w:pPr>
        <w:spacing w:line="360" w:lineRule="auto"/>
        <w:jc w:val="center"/>
        <w:rPr>
          <w:rFonts w:ascii="宋体" w:hAnsi="宋体"/>
          <w:b/>
          <w:sz w:val="44"/>
        </w:rPr>
      </w:pPr>
    </w:p>
    <w:p>
      <w:pPr>
        <w:pStyle w:val="147"/>
        <w:ind w:firstLine="400"/>
      </w:pPr>
    </w:p>
    <w:p>
      <w:pPr>
        <w:pStyle w:val="29"/>
      </w:pPr>
    </w:p>
    <w:p>
      <w:pPr>
        <w:spacing w:line="360" w:lineRule="auto"/>
        <w:jc w:val="center"/>
        <w:rPr>
          <w:b/>
          <w:bCs/>
          <w:sz w:val="32"/>
          <w:szCs w:val="40"/>
        </w:rPr>
      </w:pPr>
    </w:p>
    <w:p>
      <w:pPr>
        <w:spacing w:line="360" w:lineRule="auto"/>
        <w:jc w:val="center"/>
        <w:rPr>
          <w:b/>
          <w:bCs/>
          <w:sz w:val="32"/>
          <w:szCs w:val="40"/>
        </w:rPr>
      </w:pPr>
      <w:r>
        <w:rPr>
          <w:rFonts w:hint="eastAsia"/>
          <w:b/>
          <w:bCs/>
          <w:sz w:val="32"/>
          <w:szCs w:val="40"/>
        </w:rPr>
        <w:t>广州医科大学附属番禺中心医院</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 </w:t>
      </w:r>
    </w:p>
    <w:p>
      <w:pPr>
        <w:spacing w:line="360" w:lineRule="auto"/>
        <w:rPr>
          <w:rFonts w:ascii="宋体" w:hAnsi="宋体"/>
          <w:sz w:val="24"/>
        </w:rPr>
      </w:pPr>
      <w:r>
        <w:rPr>
          <w:rFonts w:hint="eastAsia" w:asciiTheme="minorEastAsia" w:hAnsiTheme="minorEastAsia" w:eastAsiaTheme="minorEastAsia"/>
          <w:sz w:val="24"/>
        </w:rPr>
        <w:t xml:space="preserve"> </w:t>
      </w:r>
      <w:r>
        <w:rPr>
          <w:rFonts w:hint="eastAsia" w:ascii="宋体" w:hAnsi="宋体"/>
          <w:sz w:val="24"/>
        </w:rPr>
        <w:t>甲方：广州医科大学附属番禺中心医院</w:t>
      </w:r>
    </w:p>
    <w:p>
      <w:pPr>
        <w:spacing w:line="360" w:lineRule="auto"/>
        <w:rPr>
          <w:rFonts w:ascii="宋体" w:hAnsi="宋体"/>
          <w:sz w:val="24"/>
        </w:rPr>
      </w:pPr>
      <w:r>
        <w:rPr>
          <w:rFonts w:hint="eastAsia" w:ascii="宋体" w:hAnsi="宋体"/>
          <w:sz w:val="24"/>
        </w:rPr>
        <w:t xml:space="preserve">乙方： </w:t>
      </w:r>
    </w:p>
    <w:p>
      <w:pPr>
        <w:spacing w:line="360" w:lineRule="auto"/>
        <w:rPr>
          <w:rFonts w:ascii="宋体" w:hAnsi="宋体"/>
          <w:sz w:val="24"/>
        </w:rPr>
      </w:pPr>
    </w:p>
    <w:p>
      <w:pPr>
        <w:spacing w:line="360" w:lineRule="auto"/>
        <w:ind w:firstLine="432"/>
        <w:rPr>
          <w:rFonts w:ascii="宋体" w:hAnsi="宋体"/>
          <w:sz w:val="24"/>
        </w:rPr>
      </w:pPr>
      <w:r>
        <w:rPr>
          <w:rFonts w:hint="eastAsia" w:ascii="宋体" w:hAnsi="宋体"/>
          <w:sz w:val="24"/>
        </w:rPr>
        <w:t>为积极响应政府关于绿色、低碳、环保生态文明建设以及区政府关于生活垃圾分类工作目标，根据《中华人民共和国民法典》及政府有关垃圾分类减排、固体废物处置工作指引和相关法律法规，经甲乙双方友好协商，达成以下协议，双方共同遵守。</w:t>
      </w:r>
    </w:p>
    <w:p>
      <w:pPr>
        <w:spacing w:line="360" w:lineRule="auto"/>
        <w:ind w:firstLine="480" w:firstLineChars="200"/>
        <w:rPr>
          <w:rFonts w:ascii="宋体" w:hAnsi="宋体"/>
          <w:sz w:val="24"/>
        </w:rPr>
      </w:pPr>
      <w:r>
        <w:rPr>
          <w:rFonts w:hint="eastAsia" w:ascii="宋体" w:hAnsi="宋体"/>
          <w:b/>
          <w:sz w:val="24"/>
        </w:rPr>
        <w:t>一、乙方受甲方委托承包甲方可回收物的收集、处置。</w:t>
      </w:r>
      <w:r>
        <w:rPr>
          <w:rFonts w:hint="eastAsia" w:ascii="宋体" w:hAnsi="宋体"/>
          <w:sz w:val="24"/>
        </w:rPr>
        <w:t>对医院日常诊疗活动中产生的未被患者血液、体液、排泄物等污染的一次性塑料输液瓶（袋）、</w:t>
      </w:r>
      <w:r>
        <w:rPr>
          <w:rFonts w:hint="eastAsia" w:ascii="宋体" w:hAnsi="宋体"/>
          <w:color w:val="000000"/>
          <w:sz w:val="24"/>
          <w:lang w:bidi="ar"/>
        </w:rPr>
        <w:t>玻璃输液瓶</w:t>
      </w:r>
      <w:r>
        <w:rPr>
          <w:rFonts w:hint="eastAsia" w:ascii="宋体" w:hAnsi="宋体" w:cs="宋体"/>
          <w:color w:val="000000"/>
          <w:sz w:val="24"/>
        </w:rPr>
        <w:t xml:space="preserve"> </w:t>
      </w:r>
      <w:r>
        <w:rPr>
          <w:rFonts w:hint="eastAsia" w:ascii="宋体" w:hAnsi="宋体" w:cs="宋体"/>
          <w:sz w:val="24"/>
        </w:rPr>
        <w:t>、</w:t>
      </w:r>
      <w:r>
        <w:rPr>
          <w:rFonts w:hint="eastAsia" w:ascii="宋体" w:hAnsi="宋体"/>
          <w:sz w:val="24"/>
        </w:rPr>
        <w:t>AB胶桶及其他可回收物进行回收。</w:t>
      </w:r>
    </w:p>
    <w:p>
      <w:pPr>
        <w:spacing w:line="360" w:lineRule="auto"/>
        <w:ind w:firstLine="480" w:firstLineChars="200"/>
        <w:rPr>
          <w:rFonts w:ascii="宋体" w:hAnsi="宋体"/>
          <w:b/>
          <w:sz w:val="24"/>
        </w:rPr>
      </w:pPr>
      <w:r>
        <w:rPr>
          <w:rFonts w:hint="eastAsia" w:ascii="宋体" w:hAnsi="宋体"/>
          <w:b/>
          <w:sz w:val="24"/>
        </w:rPr>
        <w:t>二、乙方为甲方统一处理可回收物,必须符合相关法律法规及政府或行政主管部门相关规定、制度、工作指引等。</w:t>
      </w:r>
    </w:p>
    <w:p>
      <w:pPr>
        <w:spacing w:line="360" w:lineRule="auto"/>
        <w:ind w:firstLine="480" w:firstLineChars="200"/>
        <w:rPr>
          <w:rFonts w:ascii="宋体" w:hAnsi="宋体"/>
          <w:b/>
          <w:sz w:val="24"/>
        </w:rPr>
      </w:pPr>
      <w:r>
        <w:rPr>
          <w:rFonts w:hint="eastAsia" w:ascii="宋体" w:hAnsi="宋体"/>
          <w:b/>
          <w:sz w:val="24"/>
        </w:rPr>
        <w:t>三、合同金额</w:t>
      </w:r>
    </w:p>
    <w:p>
      <w:pPr>
        <w:pStyle w:val="13"/>
        <w:spacing w:line="360" w:lineRule="auto"/>
        <w:ind w:firstLine="480" w:firstLineChars="200"/>
        <w:rPr>
          <w:rFonts w:ascii="宋体" w:hAnsi="宋体"/>
        </w:rPr>
      </w:pPr>
      <w:r>
        <w:rPr>
          <w:rFonts w:hint="eastAsia" w:ascii="宋体" w:hAnsi="宋体"/>
        </w:rPr>
        <w:t>合同含税总金额为</w:t>
      </w:r>
      <w:r>
        <w:rPr>
          <w:rFonts w:hint="eastAsia" w:ascii="宋体" w:hAnsi="宋体"/>
          <w:u w:val="single"/>
        </w:rPr>
        <w:t>417500.00</w:t>
      </w:r>
      <w:r>
        <w:rPr>
          <w:rFonts w:hint="eastAsia" w:ascii="宋体" w:hAnsi="宋体"/>
        </w:rPr>
        <w:t>元（大写：肆拾壹万柒仟伍佰元整），税率为</w:t>
      </w:r>
      <w:r>
        <w:rPr>
          <w:rFonts w:hint="eastAsia" w:ascii="宋体" w:hAnsi="宋体"/>
          <w:u w:val="single"/>
        </w:rPr>
        <w:t>XXXX</w:t>
      </w:r>
      <w:r>
        <w:rPr>
          <w:rFonts w:hint="eastAsia" w:ascii="宋体" w:hAnsi="宋体"/>
        </w:rPr>
        <w:t>%，不含税总金额为</w:t>
      </w:r>
      <w:r>
        <w:rPr>
          <w:rFonts w:hint="eastAsia" w:ascii="宋体" w:hAnsi="宋体"/>
          <w:u w:val="single"/>
        </w:rPr>
        <w:t>XXXX</w:t>
      </w:r>
      <w:r>
        <w:rPr>
          <w:rFonts w:hint="eastAsia" w:ascii="宋体" w:hAnsi="宋体"/>
        </w:rPr>
        <w:t>元（大写：</w:t>
      </w:r>
      <w:r>
        <w:rPr>
          <w:rFonts w:hint="eastAsia" w:ascii="宋体" w:hAnsi="宋体"/>
          <w:u w:val="single"/>
        </w:rPr>
        <w:t>XXXX</w:t>
      </w:r>
      <w:r>
        <w:rPr>
          <w:rFonts w:hint="eastAsia" w:ascii="宋体" w:hAnsi="宋体"/>
        </w:rPr>
        <w:t>），其中院本部含税金额为</w:t>
      </w:r>
      <w:r>
        <w:rPr>
          <w:rFonts w:hint="eastAsia" w:ascii="宋体" w:hAnsi="宋体"/>
          <w:u w:val="single"/>
        </w:rPr>
        <w:t>376900.00</w:t>
      </w:r>
      <w:r>
        <w:rPr>
          <w:rFonts w:hint="eastAsia" w:ascii="宋体" w:hAnsi="宋体"/>
        </w:rPr>
        <w:t>元（大写：叁拾柒万陆仟玖佰元整，不含税金额为</w:t>
      </w:r>
      <w:r>
        <w:rPr>
          <w:rFonts w:hint="eastAsia" w:ascii="宋体" w:hAnsi="宋体"/>
          <w:u w:val="single"/>
        </w:rPr>
        <w:t>XXXX</w:t>
      </w:r>
      <w:r>
        <w:rPr>
          <w:rFonts w:hint="eastAsia" w:ascii="宋体" w:hAnsi="宋体"/>
        </w:rPr>
        <w:t>元（大写：</w:t>
      </w:r>
      <w:r>
        <w:rPr>
          <w:rFonts w:hint="eastAsia" w:ascii="宋体" w:hAnsi="宋体"/>
          <w:u w:val="single"/>
        </w:rPr>
        <w:t>XXXX</w:t>
      </w:r>
      <w:r>
        <w:rPr>
          <w:rFonts w:hint="eastAsia" w:ascii="宋体" w:hAnsi="宋体"/>
        </w:rPr>
        <w:t>）；东院区含税金额为</w:t>
      </w:r>
      <w:r>
        <w:rPr>
          <w:rFonts w:hint="eastAsia" w:ascii="宋体" w:hAnsi="宋体"/>
          <w:u w:val="single"/>
        </w:rPr>
        <w:t>40600.00</w:t>
      </w:r>
      <w:r>
        <w:rPr>
          <w:rFonts w:hint="eastAsia" w:ascii="宋体" w:hAnsi="宋体"/>
        </w:rPr>
        <w:t>元（大写：肆万零陆佰元整，不含税金额为</w:t>
      </w:r>
      <w:r>
        <w:rPr>
          <w:rFonts w:hint="eastAsia" w:ascii="宋体" w:hAnsi="宋体"/>
          <w:u w:val="single"/>
        </w:rPr>
        <w:t>XXXX</w:t>
      </w:r>
      <w:r>
        <w:rPr>
          <w:rFonts w:hint="eastAsia" w:ascii="宋体" w:hAnsi="宋体"/>
        </w:rPr>
        <w:t>元（大写：</w:t>
      </w:r>
      <w:r>
        <w:rPr>
          <w:rFonts w:hint="eastAsia" w:ascii="宋体" w:hAnsi="宋体"/>
          <w:u w:val="single"/>
        </w:rPr>
        <w:t>XXXX</w:t>
      </w:r>
      <w:r>
        <w:rPr>
          <w:rFonts w:hint="eastAsia" w:ascii="宋体" w:hAnsi="宋体"/>
        </w:rPr>
        <w:t>）。</w:t>
      </w:r>
    </w:p>
    <w:p>
      <w:pPr>
        <w:spacing w:line="360" w:lineRule="auto"/>
        <w:ind w:firstLine="480" w:firstLineChars="200"/>
        <w:rPr>
          <w:rFonts w:ascii="宋体" w:hAnsi="宋体"/>
          <w:sz w:val="24"/>
        </w:rPr>
      </w:pPr>
      <w:r>
        <w:rPr>
          <w:rFonts w:hint="eastAsia" w:ascii="宋体" w:hAnsi="宋体"/>
          <w:b/>
          <w:sz w:val="24"/>
        </w:rPr>
        <w:t>四、服务范围：</w:t>
      </w:r>
      <w:r>
        <w:rPr>
          <w:rFonts w:hint="eastAsia" w:ascii="宋体" w:hAnsi="宋体"/>
          <w:sz w:val="24"/>
        </w:rPr>
        <w:t>广州医科大学附属番禺中心医院、</w:t>
      </w:r>
      <w:r>
        <w:rPr>
          <w:rFonts w:hint="default" w:ascii="宋体" w:hAnsi="宋体"/>
          <w:sz w:val="24"/>
        </w:rPr>
        <w:t>广州市</w:t>
      </w:r>
      <w:r>
        <w:rPr>
          <w:rFonts w:hint="eastAsia" w:ascii="宋体" w:hAnsi="宋体"/>
          <w:sz w:val="24"/>
        </w:rPr>
        <w:t>番禺区第七人民医院。</w:t>
      </w:r>
    </w:p>
    <w:p>
      <w:pPr>
        <w:pStyle w:val="13"/>
        <w:spacing w:line="360" w:lineRule="auto"/>
        <w:ind w:firstLine="480" w:firstLineChars="200"/>
        <w:rPr>
          <w:rFonts w:ascii="宋体" w:hAnsi="宋体"/>
          <w:b/>
        </w:rPr>
      </w:pPr>
      <w:r>
        <w:rPr>
          <w:rFonts w:hint="eastAsia" w:ascii="宋体" w:hAnsi="宋体"/>
          <w:b/>
        </w:rPr>
        <w:t>五、合同有效期</w:t>
      </w:r>
    </w:p>
    <w:p>
      <w:pPr>
        <w:spacing w:line="360" w:lineRule="auto"/>
        <w:ind w:firstLine="420"/>
        <w:rPr>
          <w:rFonts w:ascii="宋体" w:hAnsi="宋体"/>
          <w:sz w:val="24"/>
        </w:rPr>
      </w:pPr>
      <w:r>
        <w:rPr>
          <w:rFonts w:hint="eastAsia" w:ascii="宋体" w:hAnsi="宋体"/>
          <w:sz w:val="24"/>
        </w:rPr>
        <w:t>本合同有效期：从合同签订之日起【贰】年，即【2026】年【   】月【   】日起至【2028】年【   】月【   】日止，或结算金额达到合同总额则合同终止。</w:t>
      </w:r>
    </w:p>
    <w:p>
      <w:pPr>
        <w:spacing w:line="360" w:lineRule="auto"/>
        <w:ind w:firstLine="480" w:firstLineChars="200"/>
        <w:rPr>
          <w:rFonts w:ascii="宋体" w:hAnsi="宋体"/>
          <w:b/>
          <w:sz w:val="24"/>
        </w:rPr>
      </w:pPr>
      <w:r>
        <w:rPr>
          <w:rFonts w:hint="eastAsia" w:ascii="宋体" w:hAnsi="宋体"/>
          <w:b/>
          <w:sz w:val="24"/>
        </w:rPr>
        <w:t>六、可回收物种类及收购单价</w:t>
      </w:r>
    </w:p>
    <w:tbl>
      <w:tblPr>
        <w:tblStyle w:val="37"/>
        <w:tblW w:w="8385" w:type="dxa"/>
        <w:tblInd w:w="0" w:type="dxa"/>
        <w:tblLayout w:type="fixed"/>
        <w:tblCellMar>
          <w:top w:w="0" w:type="dxa"/>
          <w:left w:w="108" w:type="dxa"/>
          <w:bottom w:w="0" w:type="dxa"/>
          <w:right w:w="108" w:type="dxa"/>
        </w:tblCellMar>
      </w:tblPr>
      <w:tblGrid>
        <w:gridCol w:w="645"/>
        <w:gridCol w:w="4007"/>
        <w:gridCol w:w="1726"/>
        <w:gridCol w:w="2007"/>
      </w:tblGrid>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编号</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名称</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单价（元/KG)</w:t>
            </w: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备注</w:t>
            </w: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1</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废塑料输液袋（瓶）</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（未污染）</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317"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2</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废塑料AB胶桶</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highlight w:val="yellow"/>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3</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废玻璃输液瓶</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4</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废书纸</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5</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废塑料（饮料瓶、胶盆桶、胶瓶等塑料制品）</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6</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废塑料薄膜（未污染）</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347"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7</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废纸箱</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8</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废杂纸、废药纸盒</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9</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废铁</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401"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10</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废处方纸</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szCs w:val="21"/>
              </w:rPr>
              <w:t>乙方自备破碎机，在院内破碎后才能外运</w:t>
            </w: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11</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废报纸</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kern w:val="0"/>
                <w:szCs w:val="21"/>
                <w:lang w:bidi="ar"/>
              </w:rPr>
            </w:pPr>
            <w:r>
              <w:rPr>
                <w:rFonts w:hint="eastAsia" w:ascii="宋体" w:hAnsi="宋体" w:cs="宋体"/>
                <w:color w:val="000000"/>
                <w:kern w:val="0"/>
                <w:szCs w:val="21"/>
                <w:lang w:bidi="ar"/>
              </w:rPr>
              <w:t>12</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废泡沫</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kern w:val="0"/>
                <w:szCs w:val="21"/>
                <w:lang w:bidi="ar"/>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kern w:val="0"/>
                <w:szCs w:val="21"/>
                <w:lang w:bidi="ar"/>
              </w:rPr>
            </w:pPr>
            <w:r>
              <w:rPr>
                <w:rFonts w:hint="eastAsia" w:ascii="宋体" w:hAnsi="宋体" w:cs="宋体"/>
                <w:color w:val="000000"/>
                <w:kern w:val="0"/>
                <w:szCs w:val="21"/>
                <w:lang w:bidi="ar"/>
              </w:rPr>
              <w:t>13</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废旧床垫</w:t>
            </w:r>
          </w:p>
        </w:tc>
        <w:tc>
          <w:tcPr>
            <w:tcW w:w="1725"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c>
          <w:tcPr>
            <w:tcW w:w="200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szCs w:val="21"/>
              </w:rPr>
              <w:t>乙方须在院内毁形后再清运</w:t>
            </w: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szCs w:val="21"/>
              </w:rPr>
              <w:t>14</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废旧木家具</w:t>
            </w:r>
          </w:p>
        </w:tc>
        <w:tc>
          <w:tcPr>
            <w:tcW w:w="1725"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c>
          <w:tcPr>
            <w:tcW w:w="200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bl>
    <w:p>
      <w:pPr>
        <w:spacing w:line="360" w:lineRule="auto"/>
        <w:ind w:firstLine="480" w:firstLineChars="200"/>
        <w:rPr>
          <w:rFonts w:ascii="宋体" w:hAnsi="宋体"/>
          <w:b/>
          <w:sz w:val="24"/>
        </w:rPr>
      </w:pPr>
      <w:r>
        <w:rPr>
          <w:rFonts w:hint="eastAsia" w:ascii="宋体" w:hAnsi="宋体"/>
          <w:b/>
          <w:sz w:val="24"/>
        </w:rPr>
        <w:t>七、可回收物收集和暂存管理要求</w:t>
      </w:r>
    </w:p>
    <w:p>
      <w:pPr>
        <w:spacing w:line="360" w:lineRule="auto"/>
        <w:ind w:firstLine="480" w:firstLineChars="200"/>
        <w:rPr>
          <w:rFonts w:ascii="宋体" w:hAnsi="宋体"/>
          <w:sz w:val="24"/>
        </w:rPr>
      </w:pPr>
      <w:r>
        <w:rPr>
          <w:rFonts w:hint="eastAsia" w:ascii="宋体" w:hAnsi="宋体"/>
          <w:sz w:val="24"/>
        </w:rPr>
        <w:t>（一）乙方到甲方指定的废物暂存处，对回收的物品进行分类及整理后进行收运，必须保证场地卫生整洁，防火安全，并服从甲方的管理。</w:t>
      </w:r>
    </w:p>
    <w:p>
      <w:pPr>
        <w:spacing w:line="360" w:lineRule="auto"/>
        <w:ind w:firstLine="480" w:firstLineChars="200"/>
        <w:rPr>
          <w:rFonts w:ascii="宋体" w:hAnsi="宋体"/>
          <w:sz w:val="24"/>
        </w:rPr>
      </w:pPr>
      <w:r>
        <w:rPr>
          <w:rFonts w:hint="eastAsia" w:ascii="宋体" w:hAnsi="宋体"/>
          <w:sz w:val="24"/>
        </w:rPr>
        <w:t>（二）乙方自备收集可回收物所需的物料：装输液袋（瓶）的垃圾袋、平板车、磅秤、纸张破碎机等。</w:t>
      </w:r>
    </w:p>
    <w:p>
      <w:pPr>
        <w:spacing w:line="360" w:lineRule="auto"/>
        <w:ind w:firstLine="480" w:firstLineChars="200"/>
        <w:rPr>
          <w:rFonts w:ascii="宋体" w:hAnsi="宋体"/>
          <w:sz w:val="24"/>
        </w:rPr>
      </w:pPr>
      <w:r>
        <w:rPr>
          <w:rFonts w:hint="eastAsia" w:ascii="宋体" w:hAnsi="宋体"/>
          <w:sz w:val="24"/>
        </w:rPr>
        <w:t>（三）甲方提供一间可回收物暂存仓，乙方收集的可回收物必须分类、分区放置，标识清晰，并做好防火、防病媒生物孳生等安全管理措施。</w:t>
      </w:r>
    </w:p>
    <w:p>
      <w:pPr>
        <w:spacing w:line="360" w:lineRule="auto"/>
        <w:ind w:firstLine="480" w:firstLineChars="200"/>
        <w:rPr>
          <w:rFonts w:ascii="宋体" w:hAnsi="宋体"/>
          <w:b/>
          <w:sz w:val="24"/>
        </w:rPr>
      </w:pPr>
      <w:r>
        <w:rPr>
          <w:rFonts w:hint="eastAsia" w:ascii="宋体" w:hAnsi="宋体"/>
          <w:b/>
          <w:sz w:val="24"/>
        </w:rPr>
        <w:t>八、可回收物清运频次要求</w:t>
      </w:r>
    </w:p>
    <w:p>
      <w:pPr>
        <w:spacing w:line="360" w:lineRule="auto"/>
        <w:ind w:firstLine="480" w:firstLineChars="200"/>
        <w:rPr>
          <w:rFonts w:ascii="宋体" w:hAnsi="宋体"/>
          <w:sz w:val="24"/>
        </w:rPr>
      </w:pPr>
      <w:r>
        <w:rPr>
          <w:rFonts w:hint="eastAsia" w:ascii="宋体" w:hAnsi="宋体"/>
          <w:sz w:val="24"/>
        </w:rPr>
        <w:t>乙方按甲方的收运要求至少每2天到院本部进行收运，至少每周1次到东院区进行收运。甲方提出可回收物收运需求后，乙方需在48小时内响应。清运可回收物过程中，甲方和乙方当面过称称重，双方人员在《环保服务单》签名确认（保证没有混入医疗废物，双方责任清晰）。清运结束后，乙方需清洁场地后方能离开。甲方如有重点政务接待、各项检查等应急任务，乙方应积极配合，并在12小时内进行应急响应。</w:t>
      </w:r>
    </w:p>
    <w:p>
      <w:pPr>
        <w:spacing w:line="360" w:lineRule="auto"/>
        <w:ind w:firstLine="480" w:firstLineChars="200"/>
        <w:rPr>
          <w:rFonts w:ascii="宋体" w:hAnsi="宋体"/>
          <w:b/>
          <w:sz w:val="24"/>
        </w:rPr>
      </w:pPr>
      <w:r>
        <w:rPr>
          <w:rFonts w:hint="eastAsia" w:ascii="宋体" w:hAnsi="宋体"/>
          <w:b/>
          <w:sz w:val="24"/>
        </w:rPr>
        <w:t>九、结算方式</w:t>
      </w:r>
    </w:p>
    <w:p>
      <w:pPr>
        <w:spacing w:line="360" w:lineRule="auto"/>
        <w:ind w:firstLine="480" w:firstLineChars="200"/>
        <w:rPr>
          <w:rFonts w:ascii="宋体" w:hAnsi="宋体"/>
          <w:sz w:val="24"/>
        </w:rPr>
      </w:pPr>
      <w:r>
        <w:rPr>
          <w:rFonts w:hint="eastAsia" w:ascii="宋体" w:hAnsi="宋体"/>
          <w:sz w:val="24"/>
        </w:rPr>
        <w:t>（一）以等价物资置换方式每月结算。乙方每月8号前向甲方提供已签名确认的《环保服务单》证明可回收物数量和流向、月统计报表及置换物资签收表。</w:t>
      </w:r>
    </w:p>
    <w:p>
      <w:pPr>
        <w:spacing w:line="360" w:lineRule="auto"/>
        <w:ind w:firstLine="480" w:firstLineChars="200"/>
        <w:rPr>
          <w:rFonts w:ascii="宋体" w:hAnsi="宋体"/>
          <w:sz w:val="24"/>
        </w:rPr>
      </w:pPr>
      <w:r>
        <w:rPr>
          <w:rFonts w:hint="eastAsia" w:ascii="宋体" w:hAnsi="宋体"/>
          <w:sz w:val="24"/>
        </w:rPr>
        <w:t xml:space="preserve">（二）置换物资清单： </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850"/>
        <w:gridCol w:w="2268"/>
        <w:gridCol w:w="1288"/>
        <w:gridCol w:w="13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序号</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名称</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容量</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规格参数（cm）</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单价</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（元/个）</w:t>
            </w: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bCs/>
                <w:sz w:val="22"/>
                <w:szCs w:val="30"/>
              </w:rPr>
            </w:pPr>
            <w:r>
              <w:rPr>
                <w:rFonts w:hint="eastAsia" w:ascii="宋体" w:hAnsi="宋体" w:cs="宋体"/>
                <w:color w:val="00000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直径12*高13</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直径14*高15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直径17*高19</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直径18*高20</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5</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直径23*高21</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直径23*高24</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7</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长25*宽20*高25.5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13升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长30*宽20.5*高28.5（桶底：长23.2*宽14.5，投放口：长25*宽8.5）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9</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15升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长30.6*宽22*高30（桶底：23.5*15.8，投放口：24.5*10）</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25升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长33.8*宽23.8*高41.5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11</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40升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长40*宽29*高45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360" w:lineRule="auto"/>
              <w:ind w:left="0" w:right="0"/>
              <w:rPr>
                <w:rFonts w:hint="default" w:ascii="宋体" w:hAnsi="宋体"/>
                <w:szCs w:val="21"/>
              </w:rPr>
            </w:pPr>
            <w:r>
              <w:rPr>
                <w:rFonts w:hint="eastAsia" w:ascii="宋体" w:hAnsi="宋体"/>
                <w:szCs w:val="21"/>
              </w:rPr>
              <w:t>利器盒技术要求（如有最新文件要求则按照最新文件要求）：</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（1）利器盒整体为硬质材料制成，封闭且防刺穿，以保证在正常情况下，利器盒内盛装物不撒漏，并且利器盒一旦被封口，在不破坏的情况下无法被再次打开。</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（2）利器盒不使用聚氯乙烯材料。（需提供有效的检测报告佐证）</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（3）利器盒整体颜色为淡黄色，颜色应符合GB/T 3181中Y06的要求。利器盒侧面明显处应根据工作规范印制警示标志，警告语为“警告!损伤性废物”。</w:t>
            </w:r>
          </w:p>
          <w:p>
            <w:pPr>
              <w:keepNext w:val="0"/>
              <w:keepLines w:val="0"/>
              <w:suppressLineNumbers w:val="0"/>
              <w:spacing w:before="0" w:beforeAutospacing="0" w:after="0" w:afterAutospacing="0" w:line="360" w:lineRule="auto"/>
              <w:ind w:left="0" w:right="0" w:firstLine="420" w:firstLineChars="200"/>
              <w:rPr>
                <w:rFonts w:hint="default" w:ascii="宋体" w:hAnsi="宋体"/>
                <w:color w:val="FF0000"/>
                <w:szCs w:val="21"/>
              </w:rPr>
            </w:pPr>
            <w:r>
              <w:rPr>
                <w:rFonts w:hint="eastAsia" w:ascii="宋体" w:hAnsi="宋体"/>
                <w:szCs w:val="21"/>
              </w:rPr>
              <w:t>（4）满盛装量的利器盒从1.2m高处自由跌落至水泥地面，连续3次，不会出现破裂、被刺穿等情况。</w:t>
            </w:r>
          </w:p>
        </w:tc>
      </w:tr>
    </w:tbl>
    <w:p>
      <w:pPr>
        <w:spacing w:line="360" w:lineRule="auto"/>
        <w:ind w:firstLine="480" w:firstLineChars="200"/>
        <w:rPr>
          <w:rFonts w:ascii="宋体" w:hAnsi="宋体"/>
          <w:b/>
          <w:sz w:val="24"/>
        </w:rPr>
      </w:pPr>
      <w:r>
        <w:rPr>
          <w:rFonts w:hint="eastAsia" w:ascii="宋体" w:hAnsi="宋体"/>
          <w:b/>
          <w:sz w:val="24"/>
        </w:rPr>
        <w:t>十、双方权利和义务</w:t>
      </w:r>
    </w:p>
    <w:p>
      <w:pPr>
        <w:pStyle w:val="107"/>
        <w:spacing w:line="360" w:lineRule="auto"/>
        <w:ind w:firstLine="482"/>
        <w:rPr>
          <w:rFonts w:ascii="宋体" w:hAnsi="宋体"/>
          <w:b/>
          <w:sz w:val="24"/>
          <w:szCs w:val="24"/>
        </w:rPr>
      </w:pPr>
      <w:r>
        <w:rPr>
          <w:rFonts w:hint="eastAsia" w:ascii="宋体" w:hAnsi="宋体"/>
          <w:b/>
          <w:sz w:val="24"/>
          <w:szCs w:val="24"/>
        </w:rPr>
        <w:t>（一）甲方权利及义务</w:t>
      </w:r>
    </w:p>
    <w:p>
      <w:pPr>
        <w:numPr>
          <w:ilvl w:val="0"/>
          <w:numId w:val="13"/>
        </w:numPr>
        <w:spacing w:line="360" w:lineRule="auto"/>
        <w:ind w:firstLine="480" w:firstLineChars="200"/>
        <w:rPr>
          <w:rFonts w:ascii="宋体" w:hAnsi="宋体"/>
          <w:sz w:val="24"/>
        </w:rPr>
      </w:pPr>
      <w:r>
        <w:rPr>
          <w:rFonts w:hint="eastAsia" w:ascii="宋体" w:hAnsi="宋体"/>
          <w:sz w:val="24"/>
        </w:rPr>
        <w:t>甲方协助乙方开展日常工作，协助乙方熟悉医院环境、管理规定。</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sz w:val="24"/>
          <w:szCs w:val="24"/>
        </w:rPr>
        <w:t>甲方协助乙方将可回收物堆放在指定暂存点。</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sz w:val="24"/>
          <w:szCs w:val="24"/>
        </w:rPr>
        <w:t>甲方有权对乙方的可回收物再生过程及管理进行监督。</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eastAsia="宋体" w:cs="Times New Roman"/>
          <w:kern w:val="2"/>
          <w:sz w:val="24"/>
          <w:szCs w:val="24"/>
          <w:lang w:val="en-US" w:eastAsia="zh-CN" w:bidi="ar"/>
        </w:rPr>
        <w:t>若乙方出现2 次以上不能按合同要求开展可回收物收运工作，甲方有权终止合同而无需承担任何违约责任，并有权追究乙方的违约责任。</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sz w:val="24"/>
          <w:szCs w:val="24"/>
        </w:rPr>
        <w:t>甲方有权要求乙方提供塑料利器盒的相关检测报告，有权检查乙方提供的塑料利器盒的质量和性能是否符合相关文件要求。</w:t>
      </w:r>
      <w:bookmarkStart w:id="50" w:name="OLE_LINK61"/>
    </w:p>
    <w:p>
      <w:pPr>
        <w:pStyle w:val="107"/>
        <w:widowControl w:val="0"/>
        <w:numPr>
          <w:ilvl w:val="0"/>
          <w:numId w:val="13"/>
        </w:numPr>
        <w:spacing w:line="360" w:lineRule="auto"/>
        <w:ind w:firstLine="480"/>
        <w:jc w:val="both"/>
        <w:rPr>
          <w:rFonts w:ascii="宋体" w:hAnsi="宋体"/>
          <w:sz w:val="24"/>
          <w:szCs w:val="24"/>
        </w:rPr>
      </w:pPr>
      <w:r>
        <w:rPr>
          <w:rFonts w:hint="eastAsia" w:ascii="Times New Roman" w:hAnsi="Times New Roman" w:eastAsia="宋体" w:cs="Times New Roman"/>
          <w:kern w:val="2"/>
          <w:sz w:val="24"/>
          <w:szCs w:val="24"/>
          <w:lang w:val="en-US" w:eastAsia="zh-CN" w:bidi="ar"/>
        </w:rPr>
        <w:t>若甲方在验收货物时发现乙方供应的货物存在假冒伪劣或次品情况或不合格商品，乙方须在</w:t>
      </w:r>
      <w:r>
        <w:rPr>
          <w:rFonts w:hint="default" w:ascii="Times New Roman" w:hAnsi="Times New Roman" w:eastAsia="宋体" w:cs="Times New Roman"/>
          <w:kern w:val="2"/>
          <w:sz w:val="24"/>
          <w:szCs w:val="24"/>
          <w:lang w:val="en-US" w:eastAsia="zh-CN" w:bidi="ar"/>
        </w:rPr>
        <w:t>2</w:t>
      </w:r>
      <w:r>
        <w:rPr>
          <w:rFonts w:hint="eastAsia" w:ascii="Times New Roman" w:hAnsi="Times New Roman" w:eastAsia="宋体" w:cs="Times New Roman"/>
          <w:kern w:val="2"/>
          <w:sz w:val="24"/>
          <w:szCs w:val="24"/>
          <w:lang w:val="en-US" w:eastAsia="zh-CN" w:bidi="ar"/>
        </w:rPr>
        <w:t>个工作日内更换货物。若连续</w:t>
      </w:r>
      <w:r>
        <w:rPr>
          <w:rFonts w:hint="default" w:ascii="Times New Roman" w:hAnsi="Times New Roman" w:eastAsia="宋体" w:cs="Times New Roman"/>
          <w:kern w:val="2"/>
          <w:sz w:val="24"/>
          <w:szCs w:val="24"/>
          <w:lang w:val="en-US" w:eastAsia="zh-CN" w:bidi="ar"/>
        </w:rPr>
        <w:t>3</w:t>
      </w:r>
      <w:r>
        <w:rPr>
          <w:rFonts w:hint="eastAsia" w:ascii="Times New Roman" w:hAnsi="Times New Roman" w:eastAsia="宋体" w:cs="Times New Roman"/>
          <w:kern w:val="2"/>
          <w:sz w:val="24"/>
          <w:szCs w:val="24"/>
          <w:lang w:val="en-US" w:eastAsia="zh-CN" w:bidi="ar"/>
        </w:rPr>
        <w:t>次验收货物时发现有假冒伪劣或次品情况或不合格商品，不论数量多少，甲方有权终止合同，并有权追究乙方的违约责任。</w:t>
      </w:r>
      <w:bookmarkEnd w:id="50"/>
    </w:p>
    <w:p>
      <w:pPr>
        <w:pStyle w:val="107"/>
        <w:widowControl w:val="0"/>
        <w:numPr>
          <w:ilvl w:val="0"/>
          <w:numId w:val="13"/>
        </w:numPr>
        <w:spacing w:line="360" w:lineRule="auto"/>
        <w:ind w:firstLine="480"/>
        <w:jc w:val="both"/>
        <w:rPr>
          <w:rFonts w:ascii="宋体" w:hAnsi="宋体"/>
          <w:sz w:val="24"/>
          <w:szCs w:val="24"/>
        </w:rPr>
      </w:pPr>
      <w:r>
        <w:rPr>
          <w:rFonts w:hint="default" w:cs="Times New Roman"/>
          <w:kern w:val="2"/>
          <w:sz w:val="24"/>
          <w:szCs w:val="24"/>
          <w:lang w:eastAsia="zh-CN" w:bidi="ar"/>
        </w:rPr>
        <w:t>若乙方连续3次未按甲方需求提供货物，甲方有权终止合同，并有权追究乙方的违约责任。</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cs="仿宋"/>
          <w:sz w:val="24"/>
          <w:szCs w:val="24"/>
        </w:rPr>
        <w:t>甲方有权对乙方提供的服务进行监督评价。甲方每季度按照《广州医科大学附属番禺中心医院医疗集团可回收物服务季度考核评分表》（详见附件）对乙方在医疗集团的回收服务工作共同进行季度考核评分，</w:t>
      </w:r>
      <w:r>
        <w:rPr>
          <w:rFonts w:hint="eastAsia" w:ascii="宋体" w:hAnsi="宋体"/>
          <w:bCs/>
          <w:sz w:val="24"/>
          <w:szCs w:val="24"/>
        </w:rPr>
        <w:t>总分100分，90分及以上为合格</w:t>
      </w:r>
      <w:r>
        <w:rPr>
          <w:rFonts w:hint="eastAsia" w:ascii="宋体" w:hAnsi="宋体" w:cs="仿宋"/>
          <w:sz w:val="24"/>
          <w:szCs w:val="24"/>
        </w:rPr>
        <w:t>。</w:t>
      </w:r>
    </w:p>
    <w:p>
      <w:pPr>
        <w:pStyle w:val="107"/>
        <w:spacing w:line="360" w:lineRule="auto"/>
        <w:ind w:firstLine="482"/>
        <w:rPr>
          <w:rFonts w:ascii="宋体" w:hAnsi="宋体"/>
          <w:b/>
          <w:sz w:val="24"/>
          <w:szCs w:val="24"/>
        </w:rPr>
      </w:pPr>
      <w:r>
        <w:rPr>
          <w:rFonts w:hint="eastAsia" w:ascii="宋体" w:hAnsi="宋体"/>
          <w:b/>
          <w:sz w:val="24"/>
          <w:szCs w:val="24"/>
        </w:rPr>
        <w:t>（二）乙方责任及义务</w:t>
      </w:r>
    </w:p>
    <w:p>
      <w:pPr>
        <w:numPr>
          <w:ilvl w:val="0"/>
          <w:numId w:val="14"/>
        </w:numPr>
        <w:spacing w:line="360" w:lineRule="auto"/>
        <w:ind w:firstLine="480" w:firstLineChars="200"/>
        <w:rPr>
          <w:rFonts w:ascii="宋体" w:hAnsi="宋体"/>
          <w:sz w:val="24"/>
        </w:rPr>
      </w:pPr>
      <w:r>
        <w:rPr>
          <w:rFonts w:hint="eastAsia" w:ascii="宋体" w:hAnsi="宋体"/>
          <w:sz w:val="24"/>
        </w:rPr>
        <w:t>乙方具有有效的资质回收、处置未被污染的使用后的输液瓶（袋）。</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对于回收未被污染的使用后的输液袋（瓶）、废塑料AB胶桶的再生处理，再生产产品不得用于原用途，以不危害人体健康为原则，禁止用于食品和医疗卫生用品行业。再生产品的用途限于：医疗废物包装袋、周转箱；汽车工业零配件；塑料地毯、地胶；工业用具包装盒等符合相关规范的产品及用途。如乙方存在违约情况或违规不按要求生产再生产品，甲方有权终止合同而无需承担任何违约责任，并有权追究乙方的违约责任。</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废药纸盒 （经乙方在甲方现场毁形后）、废药品说明书等销售给有资质的再生资源利用机构，保留流向单据，进行登记，登记内容应当包括可回收物的来源、种类、重量或者数量、交接时间、处置方法、最终去向以及经办人签名等项目。登记资料至少保存3年。绝不能销售给无资质的机构或个人，杜绝产生社会危害。乙方保证可回收物品去向可追溯，如果违约所产生的法律后果，由乙方承担，与甲方无关。</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乙方保证不回收甲方的医疗废物（被体液、血液、分泌物和排泄物污染的注射器、针头、棉签、输液管、血袋、尿袋、医疗废物包装袋等）和不可回收物。</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乙方承诺废药纸盒、尿盆尿壶等物品须经乙方在甲方现场毁形后再运走处理。</w:t>
      </w:r>
    </w:p>
    <w:p>
      <w:pPr>
        <w:numPr>
          <w:ilvl w:val="0"/>
          <w:numId w:val="14"/>
        </w:numPr>
        <w:spacing w:line="360" w:lineRule="auto"/>
        <w:ind w:firstLine="480" w:firstLineChars="200"/>
        <w:rPr>
          <w:rFonts w:ascii="宋体" w:hAnsi="宋体"/>
          <w:sz w:val="24"/>
        </w:rPr>
      </w:pPr>
      <w:r>
        <w:rPr>
          <w:rFonts w:hint="eastAsia" w:ascii="宋体" w:hAnsi="宋体"/>
          <w:sz w:val="24"/>
        </w:rPr>
        <w:t>乙方必须按时办理月结算工作。</w:t>
      </w:r>
    </w:p>
    <w:p>
      <w:pPr>
        <w:numPr>
          <w:ilvl w:val="0"/>
          <w:numId w:val="14"/>
        </w:numPr>
        <w:spacing w:line="360" w:lineRule="auto"/>
        <w:ind w:firstLine="480" w:firstLineChars="200"/>
        <w:rPr>
          <w:rFonts w:ascii="宋体" w:hAnsi="宋体"/>
          <w:sz w:val="24"/>
        </w:rPr>
      </w:pPr>
      <w:r>
        <w:rPr>
          <w:rFonts w:hint="eastAsia" w:ascii="宋体" w:hAnsi="宋体"/>
          <w:sz w:val="24"/>
        </w:rPr>
        <w:t>乙方需委派至少2名工作人员到场提供服务，工作人员要穿工作服、佩戴工作证，遵守医院管理规定，文明有礼，安全作业。</w:t>
      </w:r>
    </w:p>
    <w:p>
      <w:pPr>
        <w:numPr>
          <w:ilvl w:val="0"/>
          <w:numId w:val="14"/>
        </w:numPr>
        <w:spacing w:line="360" w:lineRule="auto"/>
        <w:ind w:firstLine="480" w:firstLineChars="200"/>
        <w:rPr>
          <w:rFonts w:ascii="宋体" w:hAnsi="宋体"/>
          <w:sz w:val="24"/>
        </w:rPr>
      </w:pPr>
      <w:r>
        <w:rPr>
          <w:rFonts w:hint="eastAsia" w:ascii="宋体" w:hAnsi="宋体"/>
          <w:sz w:val="24"/>
        </w:rPr>
        <w:t>乙方的工作人员必需遵守甲方的相关管理制度，因违反甲方相关管理制度而造成影响及损失由乙方全部承担，涉及到违法行为的，甲方有权依法追究法律责任。</w:t>
      </w:r>
    </w:p>
    <w:p>
      <w:pPr>
        <w:numPr>
          <w:ilvl w:val="0"/>
          <w:numId w:val="14"/>
        </w:numPr>
        <w:spacing w:line="360" w:lineRule="auto"/>
        <w:ind w:firstLine="480" w:firstLineChars="200"/>
        <w:rPr>
          <w:rFonts w:ascii="宋体" w:hAnsi="宋体"/>
          <w:sz w:val="24"/>
        </w:rPr>
      </w:pPr>
      <w:r>
        <w:rPr>
          <w:rFonts w:hint="eastAsia" w:ascii="宋体" w:hAnsi="宋体"/>
          <w:sz w:val="24"/>
        </w:rPr>
        <w:t>乙方按甲方的收运要求至少每2天到院本部进行收运，至少每周1次到东院区进行收运。甲方提出可回收物收运需求后，乙方需在48小时内响应。</w:t>
      </w:r>
    </w:p>
    <w:p>
      <w:pPr>
        <w:numPr>
          <w:ilvl w:val="0"/>
          <w:numId w:val="14"/>
        </w:numPr>
        <w:spacing w:line="360" w:lineRule="auto"/>
        <w:ind w:firstLine="480" w:firstLineChars="200"/>
        <w:rPr>
          <w:rFonts w:ascii="宋体" w:hAnsi="宋体"/>
          <w:sz w:val="24"/>
        </w:rPr>
      </w:pPr>
      <w:r>
        <w:rPr>
          <w:rFonts w:hint="eastAsia" w:ascii="宋体" w:hAnsi="宋体"/>
          <w:sz w:val="24"/>
        </w:rPr>
        <w:t>甲方如有重点政务接待、各项检查等应急任务，乙方应积极配合甲方的迎检工作，并在12小时内进行应急响应。</w:t>
      </w:r>
    </w:p>
    <w:p>
      <w:pPr>
        <w:numPr>
          <w:ilvl w:val="0"/>
          <w:numId w:val="14"/>
        </w:numPr>
        <w:spacing w:line="360" w:lineRule="auto"/>
        <w:ind w:firstLine="480" w:firstLineChars="200"/>
        <w:rPr>
          <w:rFonts w:ascii="宋体" w:hAnsi="宋体"/>
          <w:sz w:val="24"/>
        </w:rPr>
      </w:pPr>
      <w:r>
        <w:rPr>
          <w:rFonts w:hint="eastAsia" w:ascii="宋体" w:hAnsi="宋体"/>
          <w:sz w:val="24"/>
        </w:rPr>
        <w:t>清运可回收物过程中，甲方和乙方当面过称称重，双方人员在《环保服务单》签名确认（保证没有混入医疗废物，双方责任清晰）。清运结束后，乙方需清洁场地后方能离开。</w:t>
      </w:r>
    </w:p>
    <w:p>
      <w:pPr>
        <w:numPr>
          <w:ilvl w:val="0"/>
          <w:numId w:val="14"/>
        </w:numPr>
        <w:spacing w:line="360" w:lineRule="auto"/>
        <w:ind w:firstLine="480" w:firstLineChars="200"/>
        <w:rPr>
          <w:sz w:val="24"/>
        </w:rPr>
      </w:pPr>
      <w:r>
        <w:rPr>
          <w:rFonts w:hint="eastAsia"/>
          <w:sz w:val="24"/>
        </w:rPr>
        <w:t>乙方需自备</w:t>
      </w:r>
      <w:r>
        <w:rPr>
          <w:sz w:val="24"/>
        </w:rPr>
        <w:t>1</w:t>
      </w:r>
      <w:r>
        <w:rPr>
          <w:rFonts w:hint="eastAsia"/>
          <w:sz w:val="24"/>
        </w:rPr>
        <w:t>台纸张破碎机，</w:t>
      </w:r>
      <w:r>
        <w:rPr>
          <w:rFonts w:hint="eastAsia" w:ascii="Times New Roman" w:hAnsi="Times New Roman" w:eastAsia="宋体" w:cs="Times New Roman"/>
          <w:kern w:val="2"/>
          <w:sz w:val="24"/>
          <w:szCs w:val="24"/>
          <w:lang w:val="en-US" w:eastAsia="zh-CN" w:bidi="ar"/>
        </w:rPr>
        <w:t>按甲方要求频次，在甲方院内指定位置执行纸质资料破碎的工作。</w:t>
      </w:r>
      <w:r>
        <w:rPr>
          <w:rFonts w:hint="eastAsia"/>
          <w:sz w:val="24"/>
        </w:rPr>
        <w:t>甲方提出纸质资料破碎的需求后，乙方需在</w:t>
      </w:r>
      <w:r>
        <w:rPr>
          <w:sz w:val="24"/>
        </w:rPr>
        <w:t>24</w:t>
      </w:r>
      <w:r>
        <w:rPr>
          <w:rFonts w:hint="eastAsia"/>
          <w:sz w:val="24"/>
        </w:rPr>
        <w:t>小时内响应。</w:t>
      </w:r>
    </w:p>
    <w:p>
      <w:pPr>
        <w:numPr>
          <w:ilvl w:val="0"/>
          <w:numId w:val="14"/>
        </w:numPr>
        <w:spacing w:line="360" w:lineRule="auto"/>
        <w:ind w:firstLine="480" w:firstLineChars="200"/>
        <w:rPr>
          <w:sz w:val="24"/>
        </w:rPr>
      </w:pPr>
      <w:r>
        <w:rPr>
          <w:rFonts w:hint="eastAsia"/>
          <w:sz w:val="24"/>
        </w:rPr>
        <w:t>乙方在可回收医疗物品回收、分类、包装、运输、无害化处理处置等过程中，必须符合国家法律规定的环保要求和标准。如乙方有违反相关污染防治要求或在回收利用过程中发生的废水、废气、环境噪音等排放不达标，责任由乙方承担，与甲方无关。</w:t>
      </w:r>
    </w:p>
    <w:p>
      <w:pPr>
        <w:numPr>
          <w:ilvl w:val="0"/>
          <w:numId w:val="14"/>
        </w:numPr>
        <w:spacing w:line="360" w:lineRule="auto"/>
        <w:ind w:firstLine="480" w:firstLineChars="200"/>
        <w:rPr>
          <w:sz w:val="24"/>
        </w:rPr>
      </w:pPr>
      <w:r>
        <w:rPr>
          <w:rFonts w:hint="eastAsia"/>
          <w:sz w:val="24"/>
        </w:rPr>
        <w:t>乙方必须严格遵守国家相关法律法规收集未被污染的使用后的输液袋（瓶）、废塑料</w:t>
      </w:r>
      <w:r>
        <w:rPr>
          <w:sz w:val="24"/>
        </w:rPr>
        <w:t>AB</w:t>
      </w:r>
      <w:r>
        <w:rPr>
          <w:rFonts w:hint="eastAsia"/>
          <w:sz w:val="24"/>
        </w:rPr>
        <w:t>胶桶，在乙方工厂范围内进行破碎，并承担其破碎过程中的安全及环保责任。</w:t>
      </w:r>
    </w:p>
    <w:p>
      <w:pPr>
        <w:numPr>
          <w:ilvl w:val="0"/>
          <w:numId w:val="14"/>
        </w:numPr>
        <w:spacing w:line="360" w:lineRule="auto"/>
        <w:ind w:firstLine="480" w:firstLineChars="200"/>
        <w:rPr>
          <w:sz w:val="24"/>
        </w:rPr>
      </w:pPr>
      <w:r>
        <w:rPr>
          <w:rFonts w:hint="eastAsia"/>
          <w:sz w:val="24"/>
        </w:rPr>
        <w:t>乙方不得把未粉碎的处方纸及甲方要求粉碎而未粉碎的重要纸质资料运出院外，乙方收集时必须严格检查，严禁未粉碎的处方和重要纸质资料外流。</w:t>
      </w:r>
    </w:p>
    <w:p>
      <w:pPr>
        <w:numPr>
          <w:ilvl w:val="0"/>
          <w:numId w:val="14"/>
        </w:numPr>
        <w:spacing w:line="360" w:lineRule="auto"/>
        <w:ind w:firstLine="480" w:firstLineChars="200"/>
        <w:rPr>
          <w:sz w:val="24"/>
        </w:rPr>
      </w:pPr>
      <w:r>
        <w:rPr>
          <w:rFonts w:hint="eastAsia"/>
          <w:sz w:val="24"/>
        </w:rPr>
        <w:t>乙方承诺严格遵守国家相关法律法规及医疗机构关于病人信息保密的规定，对收运过程中可能接触到的患者所有个人信息予以严格保密，不以任何形式泄露给未经授权的第三方。</w:t>
      </w:r>
    </w:p>
    <w:p>
      <w:pPr>
        <w:numPr>
          <w:ilvl w:val="0"/>
          <w:numId w:val="14"/>
        </w:numPr>
        <w:spacing w:line="360" w:lineRule="auto"/>
        <w:ind w:firstLine="480" w:firstLineChars="200"/>
        <w:rPr>
          <w:sz w:val="24"/>
        </w:rPr>
      </w:pPr>
      <w:r>
        <w:rPr>
          <w:rFonts w:hint="eastAsia"/>
          <w:sz w:val="24"/>
        </w:rPr>
        <w:t>乙方收运甲方可回收物时不得超载运输，运输途中不得飘洒污染，影响市容环境卫生，严禁乱排乱放。如有违反，因此产生的一切责任及纠纷由乙方承担并负责解决，与甲方无关。</w:t>
      </w:r>
    </w:p>
    <w:p>
      <w:pPr>
        <w:numPr>
          <w:ilvl w:val="0"/>
          <w:numId w:val="14"/>
        </w:numPr>
        <w:spacing w:line="360" w:lineRule="auto"/>
        <w:ind w:firstLine="480" w:firstLineChars="200"/>
        <w:rPr>
          <w:sz w:val="24"/>
        </w:rPr>
      </w:pPr>
      <w:r>
        <w:rPr>
          <w:rFonts w:hint="eastAsia"/>
          <w:sz w:val="24"/>
        </w:rPr>
        <w:t>乙方提供的塑料利器盒必须符合国家环境保护总局制定的《医疗废物专用包装袋、容器和警示标志标准（</w:t>
      </w:r>
      <w:r>
        <w:rPr>
          <w:sz w:val="24"/>
        </w:rPr>
        <w:t>HJ 421-2008</w:t>
      </w:r>
      <w:r>
        <w:rPr>
          <w:rFonts w:hint="eastAsia"/>
          <w:sz w:val="24"/>
        </w:rPr>
        <w:t>）》或相关最新文件要求，否则视作不合格商品。如有违反相关法律法规要求，因此产生的一切责任及纠纷由乙方承担并负责解决，与甲方无关。</w:t>
      </w:r>
    </w:p>
    <w:p>
      <w:pPr>
        <w:numPr>
          <w:ilvl w:val="0"/>
          <w:numId w:val="14"/>
        </w:numPr>
        <w:spacing w:line="360" w:lineRule="auto"/>
        <w:ind w:firstLine="480" w:firstLineChars="200"/>
        <w:rPr>
          <w:sz w:val="24"/>
        </w:rPr>
      </w:pPr>
      <w:r>
        <w:rPr>
          <w:rFonts w:hint="eastAsia"/>
          <w:sz w:val="24"/>
        </w:rPr>
        <w:t>乙方需采用厂家标准包装，且必须满足运输安全要求和规范规定，由于包装和运输过程中造成锐器盒损坏，一切责任由乙方承担。乙方有义务保证货物包装的完好无损。货物须以品种及规格为单位进行装箱，在每个包装箱上注明名称、规格、数量。</w:t>
      </w:r>
    </w:p>
    <w:p>
      <w:pPr>
        <w:numPr>
          <w:ilvl w:val="0"/>
          <w:numId w:val="14"/>
        </w:numPr>
        <w:spacing w:line="360" w:lineRule="auto"/>
        <w:ind w:firstLine="480" w:firstLineChars="200"/>
        <w:rPr>
          <w:sz w:val="24"/>
        </w:rPr>
      </w:pPr>
      <w:r>
        <w:rPr>
          <w:rFonts w:hint="eastAsia"/>
          <w:sz w:val="24"/>
        </w:rPr>
        <w:t>乙方</w:t>
      </w:r>
      <w:r>
        <w:rPr>
          <w:rFonts w:hint="eastAsia" w:ascii="宋体" w:hAnsi="宋体" w:cs="仿宋"/>
          <w:sz w:val="24"/>
        </w:rPr>
        <w:t>两个院区内有多个配送点（约100个科室/部门），</w:t>
      </w:r>
      <w:r>
        <w:rPr>
          <w:rFonts w:hint="eastAsia"/>
          <w:sz w:val="24"/>
        </w:rPr>
        <w:t>甲方按乙方的要求至少每周</w:t>
      </w:r>
      <w:r>
        <w:rPr>
          <w:sz w:val="24"/>
        </w:rPr>
        <w:t>1</w:t>
      </w:r>
      <w:r>
        <w:rPr>
          <w:rFonts w:hint="eastAsia"/>
          <w:sz w:val="24"/>
        </w:rPr>
        <w:t>次分别配送塑料利器盒到两个院区的指定区域。甲方提出塑料利器盒下单需求后，乙方需在</w:t>
      </w:r>
      <w:r>
        <w:rPr>
          <w:sz w:val="24"/>
        </w:rPr>
        <w:t>48</w:t>
      </w:r>
      <w:r>
        <w:rPr>
          <w:rFonts w:hint="eastAsia"/>
          <w:sz w:val="24"/>
        </w:rPr>
        <w:t>小时内响应。</w:t>
      </w:r>
    </w:p>
    <w:p>
      <w:pPr>
        <w:numPr>
          <w:ilvl w:val="0"/>
          <w:numId w:val="14"/>
        </w:numPr>
        <w:spacing w:line="360" w:lineRule="auto"/>
        <w:ind w:firstLine="480" w:firstLineChars="200"/>
        <w:rPr>
          <w:sz w:val="24"/>
        </w:rPr>
      </w:pPr>
      <w:r>
        <w:rPr>
          <w:rFonts w:hint="eastAsia"/>
          <w:sz w:val="24"/>
        </w:rPr>
        <w:t>置换物资验收办法：货物送达甲方指定的地点后，由双方工作人员按送货单进行检货验收和签名确认。</w:t>
      </w:r>
    </w:p>
    <w:p>
      <w:pPr>
        <w:numPr>
          <w:ilvl w:val="0"/>
          <w:numId w:val="14"/>
        </w:numPr>
        <w:spacing w:line="360" w:lineRule="auto"/>
        <w:ind w:firstLine="480" w:firstLineChars="200"/>
        <w:rPr>
          <w:sz w:val="24"/>
        </w:rPr>
      </w:pPr>
      <w:r>
        <w:rPr>
          <w:rFonts w:hint="eastAsia" w:ascii="宋体" w:hAnsi="宋体" w:cs="仿宋"/>
          <w:sz w:val="24"/>
        </w:rPr>
        <w:t>乙方如在工作中损坏甲方物业、设施设备如电梯、门、柱、墙、工具、集水井水泵、水管等，要负责修复或支付修复费用。</w:t>
      </w:r>
    </w:p>
    <w:p>
      <w:pPr>
        <w:numPr>
          <w:ilvl w:val="0"/>
          <w:numId w:val="14"/>
        </w:numPr>
        <w:spacing w:line="360" w:lineRule="auto"/>
        <w:ind w:firstLine="480" w:firstLineChars="200"/>
        <w:rPr>
          <w:rFonts w:ascii="宋体" w:hAnsi="宋体"/>
          <w:sz w:val="24"/>
        </w:rPr>
      </w:pPr>
      <w:r>
        <w:rPr>
          <w:rFonts w:hint="eastAsia" w:ascii="宋体" w:hAnsi="宋体" w:cs="仿宋"/>
          <w:sz w:val="24"/>
        </w:rPr>
        <w:t>乙方必须做好工作人员所需要的安全教育及安全措施，保证工作人员的安全，发生安全事件要及时告知甲方，乙方工作人员在甲方工作范围内发生事故的一切责任及损失由乙方负责。</w:t>
      </w:r>
    </w:p>
    <w:p>
      <w:pPr>
        <w:numPr>
          <w:ilvl w:val="0"/>
          <w:numId w:val="14"/>
        </w:numPr>
        <w:spacing w:line="360" w:lineRule="auto"/>
        <w:ind w:firstLine="480" w:firstLineChars="200"/>
        <w:rPr>
          <w:rFonts w:ascii="宋体" w:hAnsi="宋体"/>
          <w:sz w:val="24"/>
        </w:rPr>
      </w:pPr>
      <w:r>
        <w:rPr>
          <w:rFonts w:hint="default" w:ascii="宋体" w:hAnsi="宋体" w:cs="仿宋"/>
          <w:sz w:val="24"/>
        </w:rPr>
        <w:t>因乙方工作人员操作不当导致安全事件或其他不良事件发生的，一切责任及损失由乙方负责。</w:t>
      </w:r>
    </w:p>
    <w:p>
      <w:pPr>
        <w:spacing w:line="360" w:lineRule="auto"/>
        <w:ind w:firstLine="480" w:firstLineChars="200"/>
        <w:rPr>
          <w:rFonts w:ascii="宋体" w:hAnsi="宋体"/>
          <w:b/>
          <w:sz w:val="24"/>
        </w:rPr>
      </w:pPr>
      <w:r>
        <w:rPr>
          <w:rFonts w:hint="eastAsia" w:ascii="宋体" w:hAnsi="宋体"/>
          <w:b/>
          <w:sz w:val="24"/>
        </w:rPr>
        <w:t>十一、履约保证金</w:t>
      </w:r>
    </w:p>
    <w:p>
      <w:pPr>
        <w:spacing w:line="360" w:lineRule="auto"/>
        <w:ind w:firstLine="480" w:firstLineChars="200"/>
        <w:rPr>
          <w:rFonts w:ascii="宋体" w:hAnsi="宋体"/>
          <w:sz w:val="24"/>
        </w:rPr>
      </w:pPr>
      <w:r>
        <w:rPr>
          <w:rFonts w:hint="eastAsia" w:ascii="宋体" w:hAnsi="宋体"/>
          <w:sz w:val="24"/>
        </w:rPr>
        <w:t>1.乙方应在合同签订后5个工作日内，应以支票、汇票、本票或者金融机构、担保机构出具的保函等非现金形式向甲方提交合同金额的5%作为履约保证金。</w:t>
      </w:r>
    </w:p>
    <w:p>
      <w:pPr>
        <w:spacing w:line="360" w:lineRule="auto"/>
        <w:ind w:firstLine="480" w:firstLineChars="200"/>
        <w:rPr>
          <w:rFonts w:ascii="宋体" w:hAnsi="宋体"/>
          <w:sz w:val="24"/>
        </w:rPr>
      </w:pPr>
      <w:r>
        <w:rPr>
          <w:rFonts w:hint="eastAsia" w:ascii="宋体" w:hAnsi="宋体"/>
          <w:sz w:val="24"/>
        </w:rPr>
        <w:t>2.合同期满或经双方协商同意提前终止合同的，若乙方无违约行为，在乙方已按合同期间产生的所有费用交付所有置换物资，并妥善处理乙方工作人员在合同期间给甲方造成的所有纠纷、损失（包括但不限于乙方工作人员损坏甲方物业设施、设备等）后，甲方在5个工作日内办理履约保证金一次性无息返还手续。如乙方在合同结束前不妥善处理上述问题或存在其他违反合同条款的情况，影响甲方正常工作的，甲方有权从履约保证金中支付处理乙方在本项目遗留问题费用并赔偿因此造成甲方的损失。</w:t>
      </w:r>
    </w:p>
    <w:p>
      <w:pPr>
        <w:spacing w:line="360" w:lineRule="auto"/>
        <w:ind w:firstLine="480" w:firstLineChars="200"/>
        <w:rPr>
          <w:rFonts w:ascii="宋体" w:hAnsi="宋体"/>
          <w:sz w:val="24"/>
        </w:rPr>
      </w:pPr>
      <w:r>
        <w:rPr>
          <w:rFonts w:hint="eastAsia" w:ascii="宋体" w:hAnsi="宋体"/>
          <w:sz w:val="24"/>
        </w:rPr>
        <w:t>3.在办理退回履约保证金款项手续时，必须由乙方法人持有效身份证明及履约保证金缴费凭证原件。如确需委托他人办理的，受托人必须持委托人签署的委托书、委托人主体材料、受托人身份证及履约保证金缴费凭证原件方可办理。</w:t>
      </w:r>
    </w:p>
    <w:p>
      <w:pPr>
        <w:spacing w:line="360" w:lineRule="auto"/>
        <w:ind w:firstLine="480" w:firstLineChars="200"/>
        <w:rPr>
          <w:rFonts w:ascii="宋体" w:hAnsi="宋体"/>
          <w:sz w:val="24"/>
        </w:rPr>
      </w:pPr>
      <w:r>
        <w:rPr>
          <w:rFonts w:hint="eastAsia" w:ascii="宋体" w:hAnsi="宋体"/>
          <w:sz w:val="24"/>
        </w:rPr>
        <w:t>4.运营服务期间，如乙方有违约行为，甲方有权使用履约保证金进行赔偿或处罚，履约保证金被使用后，乙方必须在两个月内补齐履约保证金。</w:t>
      </w:r>
    </w:p>
    <w:p>
      <w:pPr>
        <w:spacing w:line="360" w:lineRule="auto"/>
        <w:ind w:firstLine="480" w:firstLineChars="200"/>
        <w:rPr>
          <w:rFonts w:ascii="宋体" w:hAnsi="宋体"/>
          <w:sz w:val="24"/>
        </w:rPr>
      </w:pPr>
      <w:r>
        <w:rPr>
          <w:rFonts w:hint="eastAsia" w:ascii="宋体" w:hAnsi="宋体"/>
          <w:sz w:val="24"/>
        </w:rPr>
        <w:t>5.由于乙方原因而提前终止合同的，必须提前两个月通知甲方,否则因此造成甲方的一切损失由乙方负责，且甲方有权不退回履约保证金及有权另行向乙方追讨未交付置换物资金额及违约金。</w:t>
      </w:r>
    </w:p>
    <w:p>
      <w:pPr>
        <w:spacing w:line="360" w:lineRule="auto"/>
        <w:ind w:firstLine="480" w:firstLineChars="200"/>
        <w:rPr>
          <w:rFonts w:ascii="宋体" w:hAnsi="宋体"/>
          <w:sz w:val="24"/>
        </w:rPr>
      </w:pPr>
      <w:r>
        <w:rPr>
          <w:rFonts w:hint="eastAsia" w:ascii="宋体" w:hAnsi="宋体"/>
          <w:sz w:val="24"/>
        </w:rPr>
        <w:t>6.甲方逾期退还履约保证金的，乙方可按有关法律规定追缴相应费用，但因乙方自身原因导致的除外。</w:t>
      </w:r>
    </w:p>
    <w:p>
      <w:pPr>
        <w:spacing w:line="360" w:lineRule="auto"/>
        <w:ind w:firstLine="480" w:firstLineChars="200"/>
        <w:rPr>
          <w:rFonts w:ascii="宋体" w:hAnsi="宋体"/>
          <w:b/>
          <w:sz w:val="24"/>
        </w:rPr>
      </w:pPr>
      <w:r>
        <w:rPr>
          <w:rFonts w:hint="eastAsia" w:ascii="宋体" w:hAnsi="宋体"/>
          <w:b/>
          <w:sz w:val="24"/>
        </w:rPr>
        <w:t>十二、违约责任</w:t>
      </w:r>
    </w:p>
    <w:p>
      <w:pPr>
        <w:widowControl/>
        <w:numPr>
          <w:ilvl w:val="0"/>
          <w:numId w:val="15"/>
        </w:numPr>
        <w:adjustRightInd w:val="0"/>
        <w:snapToGrid w:val="0"/>
        <w:spacing w:line="360" w:lineRule="auto"/>
        <w:ind w:left="0" w:firstLine="420"/>
        <w:jc w:val="left"/>
        <w:rPr>
          <w:rFonts w:ascii="宋体" w:hAnsi="宋体"/>
          <w:bCs/>
          <w:sz w:val="24"/>
          <w:szCs w:val="22"/>
        </w:rPr>
      </w:pPr>
      <w:r>
        <w:rPr>
          <w:rFonts w:hint="eastAsia" w:ascii="宋体" w:hAnsi="宋体"/>
          <w:bCs/>
          <w:sz w:val="24"/>
        </w:rPr>
        <w:t>乙方季度考核分数不合格的，视为违约，须向甲方支付违约金：</w:t>
      </w:r>
    </w:p>
    <w:p>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hint="eastAsia" w:ascii="宋体" w:hAnsi="宋体"/>
          <w:sz w:val="24"/>
        </w:rPr>
        <w:t>1</w:t>
      </w:r>
      <w:r>
        <w:rPr>
          <w:rFonts w:hint="eastAsia" w:ascii="宋体" w:hAnsi="宋体"/>
          <w:bCs/>
          <w:sz w:val="24"/>
        </w:rPr>
        <w:t>）总分100分，得分≥90分为合格；</w:t>
      </w:r>
    </w:p>
    <w:p>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hint="eastAsia" w:ascii="宋体" w:hAnsi="宋体"/>
          <w:sz w:val="24"/>
        </w:rPr>
        <w:t>2</w:t>
      </w:r>
      <w:r>
        <w:rPr>
          <w:rFonts w:hint="eastAsia" w:ascii="宋体" w:hAnsi="宋体"/>
          <w:bCs/>
          <w:sz w:val="24"/>
        </w:rPr>
        <w:t>）</w:t>
      </w:r>
      <w:r>
        <w:rPr>
          <w:rFonts w:hint="eastAsia" w:ascii="宋体" w:hAnsi="宋体"/>
          <w:sz w:val="24"/>
        </w:rPr>
        <w:t xml:space="preserve">90 </w:t>
      </w:r>
      <w:r>
        <w:rPr>
          <w:rFonts w:hint="eastAsia" w:ascii="宋体" w:hAnsi="宋体"/>
          <w:bCs/>
          <w:sz w:val="24"/>
        </w:rPr>
        <w:t>分＞得分</w:t>
      </w:r>
      <w:r>
        <w:rPr>
          <w:rFonts w:hint="eastAsia" w:ascii="宋体" w:hAnsi="宋体"/>
          <w:sz w:val="24"/>
        </w:rPr>
        <w:t>≥80</w:t>
      </w:r>
      <w:r>
        <w:rPr>
          <w:rFonts w:hint="eastAsia" w:ascii="宋体" w:hAnsi="宋体"/>
          <w:bCs/>
          <w:sz w:val="24"/>
        </w:rPr>
        <w:t>分，违约金</w:t>
      </w:r>
      <w:r>
        <w:rPr>
          <w:rFonts w:hint="eastAsia" w:ascii="宋体" w:hAnsi="宋体"/>
          <w:sz w:val="24"/>
        </w:rPr>
        <w:t>1,000.00</w:t>
      </w:r>
      <w:r>
        <w:rPr>
          <w:rFonts w:hint="eastAsia"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hint="eastAsia" w:ascii="宋体" w:hAnsi="宋体"/>
          <w:sz w:val="24"/>
        </w:rPr>
        <w:t>3</w:t>
      </w:r>
      <w:r>
        <w:rPr>
          <w:rFonts w:hint="eastAsia" w:ascii="宋体" w:hAnsi="宋体"/>
          <w:bCs/>
          <w:sz w:val="24"/>
        </w:rPr>
        <w:t>）</w:t>
      </w:r>
      <w:r>
        <w:rPr>
          <w:rFonts w:hint="eastAsia" w:ascii="宋体" w:hAnsi="宋体"/>
          <w:sz w:val="24"/>
        </w:rPr>
        <w:t xml:space="preserve">80 </w:t>
      </w:r>
      <w:r>
        <w:rPr>
          <w:rFonts w:hint="eastAsia" w:ascii="宋体" w:hAnsi="宋体"/>
          <w:bCs/>
          <w:sz w:val="24"/>
        </w:rPr>
        <w:t>分＞得分</w:t>
      </w:r>
      <w:r>
        <w:rPr>
          <w:rFonts w:hint="eastAsia" w:ascii="宋体" w:hAnsi="宋体"/>
          <w:sz w:val="24"/>
        </w:rPr>
        <w:t>≥70</w:t>
      </w:r>
      <w:r>
        <w:rPr>
          <w:rFonts w:hint="eastAsia" w:ascii="宋体" w:hAnsi="宋体"/>
          <w:bCs/>
          <w:sz w:val="24"/>
        </w:rPr>
        <w:t>分，违约金</w:t>
      </w:r>
      <w:r>
        <w:rPr>
          <w:rFonts w:hint="eastAsia" w:ascii="宋体" w:hAnsi="宋体"/>
          <w:sz w:val="24"/>
        </w:rPr>
        <w:t>3,000.00</w:t>
      </w:r>
      <w:r>
        <w:rPr>
          <w:rFonts w:hint="eastAsia"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（4）得分＜</w:t>
      </w:r>
      <w:r>
        <w:rPr>
          <w:rFonts w:hint="eastAsia" w:ascii="宋体" w:hAnsi="宋体"/>
          <w:sz w:val="24"/>
        </w:rPr>
        <w:t>70</w:t>
      </w:r>
      <w:r>
        <w:rPr>
          <w:rFonts w:hint="eastAsia" w:ascii="宋体" w:hAnsi="宋体"/>
          <w:bCs/>
          <w:sz w:val="24"/>
        </w:rPr>
        <w:t>分，违约金</w:t>
      </w:r>
      <w:r>
        <w:rPr>
          <w:rFonts w:hint="eastAsia" w:ascii="宋体" w:hAnsi="宋体"/>
          <w:sz w:val="24"/>
        </w:rPr>
        <w:t>5,000.00</w:t>
      </w:r>
      <w:r>
        <w:rPr>
          <w:rFonts w:hint="eastAsia"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（5）如出现一票否决情况，违约金为合同总价的20%。</w:t>
      </w:r>
    </w:p>
    <w:p>
      <w:pPr>
        <w:adjustRightInd w:val="0"/>
        <w:snapToGrid w:val="0"/>
        <w:spacing w:line="360" w:lineRule="auto"/>
        <w:ind w:firstLine="480" w:firstLineChars="200"/>
        <w:rPr>
          <w:rFonts w:ascii="宋体" w:hAnsi="宋体"/>
          <w:bCs/>
          <w:sz w:val="24"/>
        </w:rPr>
      </w:pPr>
      <w:r>
        <w:rPr>
          <w:rFonts w:hint="eastAsia" w:ascii="宋体" w:hAnsi="宋体"/>
          <w:bCs/>
          <w:sz w:val="24"/>
        </w:rPr>
        <w:t>乙方于每季度考核完成后10个工作日内将上述违约金支付至甲方指定账户，若乙方未按时支付，甲方将在履约保证金中扣除相应费用。</w:t>
      </w:r>
    </w:p>
    <w:p>
      <w:pPr>
        <w:spacing w:line="360" w:lineRule="auto"/>
        <w:ind w:firstLine="480" w:firstLineChars="200"/>
        <w:rPr>
          <w:rFonts w:ascii="宋体" w:hAnsi="宋体"/>
          <w:sz w:val="24"/>
        </w:rPr>
      </w:pPr>
      <w:r>
        <w:rPr>
          <w:rFonts w:hint="eastAsia" w:ascii="宋体" w:hAnsi="宋体"/>
          <w:bCs/>
          <w:sz w:val="24"/>
        </w:rPr>
        <w:t>2.乙方考核评分连续两个季度总分均低于</w:t>
      </w:r>
      <w:r>
        <w:rPr>
          <w:rFonts w:hint="eastAsia" w:ascii="宋体" w:hAnsi="宋体"/>
          <w:sz w:val="24"/>
        </w:rPr>
        <w:t>70</w:t>
      </w:r>
      <w:r>
        <w:rPr>
          <w:rFonts w:hint="eastAsia" w:ascii="宋体" w:hAnsi="宋体"/>
          <w:bCs/>
          <w:sz w:val="24"/>
        </w:rPr>
        <w:t>分的，甲方有权单方解除本协议，同时就协议已履行的部分进行清算和结算，乙方应</w:t>
      </w:r>
      <w:r>
        <w:rPr>
          <w:rFonts w:hint="eastAsia" w:ascii="宋体" w:hAnsi="宋体"/>
          <w:bCs/>
          <w:sz w:val="24"/>
          <w:lang w:val="en-US" w:eastAsia="zh-CN"/>
        </w:rPr>
        <w:t>向甲方支付</w:t>
      </w:r>
      <w:r>
        <w:rPr>
          <w:rFonts w:hint="eastAsia" w:ascii="宋体" w:hAnsi="宋体"/>
          <w:bCs/>
          <w:sz w:val="24"/>
        </w:rPr>
        <w:t>合同总价的20%违约金</w:t>
      </w:r>
      <w:r>
        <w:rPr>
          <w:rFonts w:hint="eastAsia" w:ascii="宋体" w:hAnsi="宋体"/>
          <w:bCs/>
          <w:sz w:val="24"/>
          <w:lang w:eastAsia="zh-CN"/>
        </w:rPr>
        <w:t>，</w:t>
      </w:r>
      <w:r>
        <w:rPr>
          <w:rFonts w:hint="eastAsia" w:ascii="宋体" w:hAnsi="宋体"/>
          <w:bCs/>
          <w:sz w:val="24"/>
        </w:rPr>
        <w:t>赔偿甲方因此产生的损失。</w:t>
      </w:r>
    </w:p>
    <w:p>
      <w:pPr>
        <w:spacing w:line="360" w:lineRule="auto"/>
        <w:ind w:firstLine="480" w:firstLineChars="200"/>
        <w:rPr>
          <w:rFonts w:ascii="宋体" w:hAnsi="宋体"/>
          <w:b/>
          <w:sz w:val="24"/>
        </w:rPr>
      </w:pPr>
      <w:r>
        <w:rPr>
          <w:rFonts w:hint="eastAsia" w:ascii="宋体" w:hAnsi="宋体"/>
          <w:b/>
          <w:sz w:val="24"/>
        </w:rPr>
        <w:t>十三、合同解除及补充</w:t>
      </w:r>
    </w:p>
    <w:p>
      <w:pPr>
        <w:spacing w:line="360" w:lineRule="auto"/>
        <w:ind w:firstLine="480" w:firstLineChars="200"/>
        <w:rPr>
          <w:rFonts w:ascii="宋体" w:hAnsi="宋体"/>
          <w:sz w:val="24"/>
        </w:rPr>
      </w:pPr>
      <w:r>
        <w:rPr>
          <w:rFonts w:hint="eastAsia" w:ascii="宋体" w:hAnsi="宋体"/>
          <w:sz w:val="24"/>
        </w:rPr>
        <w:t>（一）乙方不执行合同相关要求及约定，对可回收物进行违法再生处理或被行政执法部门（如环保部门、食药监部门、工商部门等）查处通报或取消经营资质，甲方有权单方取消合同，乙方需承担由此所造成的一切法律责任及经济损失。</w:t>
      </w:r>
    </w:p>
    <w:p>
      <w:pPr>
        <w:spacing w:line="360" w:lineRule="auto"/>
        <w:ind w:firstLine="480" w:firstLineChars="200"/>
        <w:rPr>
          <w:sz w:val="24"/>
        </w:rPr>
      </w:pPr>
      <w:r>
        <w:rPr>
          <w:rFonts w:hint="eastAsia"/>
          <w:sz w:val="24"/>
        </w:rPr>
        <w:t>（二）</w:t>
      </w:r>
      <w:r>
        <w:rPr>
          <w:rFonts w:hint="eastAsia" w:ascii="宋体" w:hAnsi="宋体"/>
          <w:sz w:val="24"/>
        </w:rPr>
        <w:t>甲方或乙方违约，无故不执行合同约定事项，单方可终止合同，并要求违约方承担违约责任和赔偿责任。</w:t>
      </w:r>
    </w:p>
    <w:p>
      <w:pPr>
        <w:spacing w:line="360" w:lineRule="auto"/>
        <w:ind w:firstLine="480" w:firstLineChars="200"/>
        <w:rPr>
          <w:sz w:val="24"/>
        </w:rPr>
      </w:pPr>
      <w:r>
        <w:rPr>
          <w:rFonts w:hint="eastAsia"/>
          <w:sz w:val="24"/>
        </w:rPr>
        <w:t>（三）</w:t>
      </w:r>
      <w:r>
        <w:rPr>
          <w:rFonts w:hint="eastAsia" w:ascii="宋体" w:hAnsi="宋体"/>
          <w:sz w:val="24"/>
        </w:rPr>
        <w:t>本合同一式肆份，甲乙双方各执贰份，均具有同等的法律效力。</w:t>
      </w:r>
    </w:p>
    <w:p>
      <w:pPr>
        <w:spacing w:line="360" w:lineRule="auto"/>
        <w:ind w:firstLine="480" w:firstLineChars="200"/>
        <w:rPr>
          <w:sz w:val="24"/>
        </w:rPr>
      </w:pPr>
      <w:r>
        <w:rPr>
          <w:rFonts w:hint="eastAsia"/>
          <w:sz w:val="24"/>
        </w:rPr>
        <w:t>（四）</w:t>
      </w:r>
      <w:r>
        <w:rPr>
          <w:rFonts w:hint="eastAsia" w:ascii="宋体" w:hAnsi="宋体"/>
          <w:sz w:val="24"/>
        </w:rPr>
        <w:t>本合同未尽事项，甲乙双方友好协商解决，可签订补充合同。</w:t>
      </w:r>
    </w:p>
    <w:p>
      <w:pPr>
        <w:spacing w:line="360" w:lineRule="auto"/>
        <w:ind w:firstLine="480" w:firstLineChars="200"/>
        <w:rPr>
          <w:rFonts w:ascii="宋体" w:hAnsi="宋体"/>
          <w:sz w:val="24"/>
        </w:rPr>
      </w:pPr>
      <w:r>
        <w:rPr>
          <w:rFonts w:hint="eastAsia"/>
          <w:sz w:val="24"/>
        </w:rPr>
        <w:t>（五）</w:t>
      </w:r>
      <w:r>
        <w:rPr>
          <w:rFonts w:hint="eastAsia" w:ascii="宋体" w:hAnsi="宋体"/>
          <w:sz w:val="24"/>
        </w:rPr>
        <w:t>双方因合同发生争议：甲乙双方友好协商解决；如协商不成，任何一方有权向甲方所在地的人民法院起诉解决。</w:t>
      </w:r>
    </w:p>
    <w:p>
      <w:pPr>
        <w:pStyle w:val="13"/>
        <w:spacing w:line="360" w:lineRule="auto"/>
        <w:ind w:firstLine="480" w:firstLineChars="200"/>
        <w:rPr>
          <w:rFonts w:ascii="宋体" w:hAnsi="宋体"/>
        </w:rPr>
      </w:pPr>
      <w:r>
        <w:rPr>
          <w:rFonts w:hint="eastAsia" w:ascii="宋体" w:hAnsi="宋体"/>
        </w:rPr>
        <w:t>附件：广州医科大学附属番禺中心医院医疗集团可回收物服务季度考核评分表</w:t>
      </w:r>
    </w:p>
    <w:p>
      <w:pPr>
        <w:widowControl/>
        <w:spacing w:line="360" w:lineRule="auto"/>
        <w:jc w:val="left"/>
        <w:rPr>
          <w:rFonts w:ascii="宋体" w:hAnsi="宋体"/>
          <w:sz w:val="24"/>
        </w:rPr>
      </w:pPr>
      <w:r>
        <w:rPr>
          <w:rFonts w:hint="eastAsia" w:ascii="宋体" w:hAnsi="宋体"/>
          <w:sz w:val="24"/>
        </w:rPr>
        <w:t>（以下无正文）</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tbl>
      <w:tblPr>
        <w:tblStyle w:val="37"/>
        <w:tblW w:w="0" w:type="auto"/>
        <w:tblInd w:w="0" w:type="dxa"/>
        <w:tblLayout w:type="autofit"/>
        <w:tblCellMar>
          <w:top w:w="0" w:type="dxa"/>
          <w:left w:w="108" w:type="dxa"/>
          <w:bottom w:w="0" w:type="dxa"/>
          <w:right w:w="108" w:type="dxa"/>
        </w:tblCellMar>
      </w:tblPr>
      <w:tblGrid>
        <w:gridCol w:w="4261"/>
        <w:gridCol w:w="4261"/>
      </w:tblGrid>
      <w:tr>
        <w:tblPrEx>
          <w:tblCellMar>
            <w:top w:w="0" w:type="dxa"/>
            <w:left w:w="108" w:type="dxa"/>
            <w:bottom w:w="0" w:type="dxa"/>
            <w:right w:w="108" w:type="dxa"/>
          </w:tblCellMar>
        </w:tblPrEx>
        <w:trPr>
          <w:trHeight w:val="680" w:hRule="atLeast"/>
        </w:trPr>
        <w:tc>
          <w:tcPr>
            <w:tcW w:w="4261" w:type="dxa"/>
          </w:tcPr>
          <w:p>
            <w:pPr>
              <w:keepNext w:val="0"/>
              <w:keepLines w:val="0"/>
              <w:suppressLineNumbers w:val="0"/>
              <w:spacing w:before="0" w:beforeAutospacing="0" w:after="0" w:afterAutospacing="0" w:line="360" w:lineRule="auto"/>
              <w:ind w:left="720" w:right="0" w:hanging="720" w:hangingChars="300"/>
              <w:rPr>
                <w:rFonts w:hint="default" w:ascii="宋体" w:hAnsi="宋体"/>
                <w:sz w:val="24"/>
              </w:rPr>
            </w:pPr>
            <w:r>
              <w:rPr>
                <w:rFonts w:hint="eastAsia" w:ascii="宋体" w:hAnsi="宋体"/>
                <w:sz w:val="24"/>
              </w:rPr>
              <w:t>甲方：广州医科大学附属番禺中心医院（盖章）</w:t>
            </w:r>
          </w:p>
        </w:tc>
        <w:tc>
          <w:tcPr>
            <w:tcW w:w="4261" w:type="dxa"/>
          </w:tcPr>
          <w:p>
            <w:pPr>
              <w:keepNext w:val="0"/>
              <w:keepLines w:val="0"/>
              <w:suppressLineNumbers w:val="0"/>
              <w:spacing w:before="0" w:beforeAutospacing="0" w:after="0" w:afterAutospacing="0" w:line="360" w:lineRule="auto"/>
              <w:ind w:left="720" w:right="0" w:hanging="720" w:hangingChars="300"/>
              <w:rPr>
                <w:rFonts w:hint="default" w:ascii="宋体" w:hAnsi="宋体"/>
                <w:sz w:val="24"/>
              </w:rPr>
            </w:pPr>
            <w:r>
              <w:rPr>
                <w:rFonts w:hint="eastAsia" w:ascii="宋体" w:hAnsi="宋体"/>
                <w:sz w:val="24"/>
              </w:rPr>
              <w:t xml:space="preserve">乙方： </w:t>
            </w:r>
          </w:p>
        </w:tc>
      </w:tr>
      <w:tr>
        <w:tblPrEx>
          <w:tblCellMar>
            <w:top w:w="0" w:type="dxa"/>
            <w:left w:w="108" w:type="dxa"/>
            <w:bottom w:w="0" w:type="dxa"/>
            <w:right w:w="108" w:type="dxa"/>
          </w:tblCellMar>
        </w:tblPrEx>
        <w:trPr>
          <w:trHeight w:val="794" w:hRule="atLeast"/>
        </w:trPr>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签约代表：</w:t>
            </w:r>
          </w:p>
        </w:tc>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签约代表：</w:t>
            </w:r>
          </w:p>
        </w:tc>
      </w:tr>
      <w:tr>
        <w:tblPrEx>
          <w:tblCellMar>
            <w:top w:w="0" w:type="dxa"/>
            <w:left w:w="108" w:type="dxa"/>
            <w:bottom w:w="0" w:type="dxa"/>
            <w:right w:w="108" w:type="dxa"/>
          </w:tblCellMar>
        </w:tblPrEx>
        <w:trPr>
          <w:trHeight w:val="397" w:hRule="atLeast"/>
        </w:trPr>
        <w:tc>
          <w:tcPr>
            <w:tcW w:w="4261" w:type="dxa"/>
          </w:tcPr>
          <w:p>
            <w:pPr>
              <w:keepNext w:val="0"/>
              <w:keepLines w:val="0"/>
              <w:suppressLineNumbers w:val="0"/>
              <w:spacing w:before="0" w:beforeAutospacing="0" w:after="0" w:afterAutospacing="0" w:line="360" w:lineRule="auto"/>
              <w:ind w:left="720" w:right="0" w:hanging="720" w:hangingChars="300"/>
              <w:rPr>
                <w:rFonts w:hint="default" w:ascii="宋体" w:hAnsi="宋体"/>
                <w:sz w:val="24"/>
              </w:rPr>
            </w:pPr>
            <w:r>
              <w:rPr>
                <w:rFonts w:hint="eastAsia" w:ascii="宋体" w:hAnsi="宋体"/>
                <w:sz w:val="24"/>
              </w:rPr>
              <w:t>地址：广州市番禺区桥南街福愉东路8号</w:t>
            </w:r>
          </w:p>
        </w:tc>
        <w:tc>
          <w:tcPr>
            <w:tcW w:w="4261" w:type="dxa"/>
          </w:tcPr>
          <w:p>
            <w:pPr>
              <w:keepNext w:val="0"/>
              <w:keepLines w:val="0"/>
              <w:suppressLineNumbers w:val="0"/>
              <w:spacing w:before="0" w:beforeAutospacing="0" w:after="0" w:afterAutospacing="0" w:line="360" w:lineRule="auto"/>
              <w:ind w:left="600" w:right="0" w:hanging="600" w:hangingChars="250"/>
              <w:rPr>
                <w:rFonts w:hint="default" w:ascii="宋体" w:hAnsi="宋体"/>
                <w:sz w:val="24"/>
              </w:rPr>
            </w:pPr>
            <w:r>
              <w:rPr>
                <w:rFonts w:hint="eastAsia" w:ascii="宋体" w:hAnsi="宋体"/>
                <w:sz w:val="24"/>
              </w:rPr>
              <w:t xml:space="preserve">地址： </w:t>
            </w:r>
          </w:p>
        </w:tc>
      </w:tr>
      <w:tr>
        <w:tblPrEx>
          <w:tblCellMar>
            <w:top w:w="0" w:type="dxa"/>
            <w:left w:w="108" w:type="dxa"/>
            <w:bottom w:w="0" w:type="dxa"/>
            <w:right w:w="108" w:type="dxa"/>
          </w:tblCellMar>
        </w:tblPrEx>
        <w:trPr>
          <w:trHeight w:val="397" w:hRule="atLeast"/>
        </w:trPr>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联系电话：020-34858221</w:t>
            </w:r>
          </w:p>
        </w:tc>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联系电话：</w:t>
            </w:r>
          </w:p>
        </w:tc>
      </w:tr>
      <w:tr>
        <w:tblPrEx>
          <w:tblCellMar>
            <w:top w:w="0" w:type="dxa"/>
            <w:left w:w="108" w:type="dxa"/>
            <w:bottom w:w="0" w:type="dxa"/>
            <w:right w:w="108" w:type="dxa"/>
          </w:tblCellMar>
        </w:tblPrEx>
        <w:trPr>
          <w:trHeight w:val="397" w:hRule="atLeast"/>
        </w:trPr>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签约日期：</w:t>
            </w:r>
          </w:p>
        </w:tc>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签约日期：</w:t>
            </w:r>
          </w:p>
        </w:tc>
      </w:tr>
    </w:tbl>
    <w:p>
      <w:pPr>
        <w:widowControl/>
        <w:spacing w:line="360" w:lineRule="auto"/>
        <w:jc w:val="left"/>
        <w:rPr>
          <w:rFonts w:ascii="宋体" w:hAnsi="宋体"/>
          <w:sz w:val="24"/>
        </w:rPr>
        <w:sectPr>
          <w:pgSz w:w="11906" w:h="16838"/>
          <w:pgMar w:top="1440" w:right="1800" w:bottom="1440" w:left="1800" w:header="851" w:footer="992" w:gutter="0"/>
          <w:cols w:space="720" w:num="1"/>
          <w:docGrid w:type="lines" w:linePitch="312" w:charSpace="0"/>
        </w:sectPr>
      </w:pPr>
    </w:p>
    <w:p>
      <w:pPr>
        <w:widowControl/>
        <w:rPr>
          <w:rFonts w:ascii="宋体" w:hAnsi="宋体" w:cs="仿宋"/>
          <w:b/>
          <w:sz w:val="28"/>
          <w:szCs w:val="28"/>
        </w:rPr>
      </w:pPr>
      <w:r>
        <w:rPr>
          <w:rFonts w:hint="eastAsia" w:ascii="宋体" w:hAnsi="宋体" w:cs="仿宋"/>
          <w:b/>
          <w:sz w:val="28"/>
          <w:szCs w:val="28"/>
        </w:rPr>
        <w:t>附件：</w:t>
      </w:r>
    </w:p>
    <w:p>
      <w:pPr>
        <w:widowControl/>
        <w:jc w:val="center"/>
        <w:rPr>
          <w:rFonts w:ascii="宋体" w:hAnsi="宋体" w:cs="仿宋"/>
          <w:b/>
          <w:sz w:val="28"/>
          <w:szCs w:val="28"/>
        </w:rPr>
      </w:pPr>
      <w:r>
        <w:rPr>
          <w:rFonts w:hint="eastAsia" w:ascii="宋体" w:hAnsi="宋体" w:cs="仿宋"/>
          <w:b/>
          <w:sz w:val="28"/>
          <w:szCs w:val="28"/>
        </w:rPr>
        <w:t>广州医科大学附属番禺中心医院医疗集团可回收物服务季度考核评分表</w:t>
      </w:r>
    </w:p>
    <w:p>
      <w:pPr>
        <w:widowControl/>
        <w:rPr>
          <w:rStyle w:val="136"/>
          <w:rFonts w:hint="default"/>
          <w:szCs w:val="21"/>
        </w:rPr>
      </w:pPr>
    </w:p>
    <w:tbl>
      <w:tblPr>
        <w:tblStyle w:val="37"/>
        <w:tblW w:w="5000" w:type="pct"/>
        <w:tblInd w:w="11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92"/>
        <w:gridCol w:w="859"/>
        <w:gridCol w:w="3599"/>
        <w:gridCol w:w="1901"/>
        <w:gridCol w:w="549"/>
        <w:gridCol w:w="1604"/>
        <w:gridCol w:w="62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5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序号</w:t>
            </w:r>
          </w:p>
        </w:tc>
        <w:tc>
          <w:tcPr>
            <w:tcW w:w="44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考核内容</w:t>
            </w:r>
          </w:p>
        </w:tc>
        <w:tc>
          <w:tcPr>
            <w:tcW w:w="2856" w:type="pct"/>
            <w:gridSpan w:val="2"/>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扣罚细则</w:t>
            </w:r>
          </w:p>
        </w:tc>
        <w:tc>
          <w:tcPr>
            <w:tcW w:w="285"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分值</w:t>
            </w:r>
          </w:p>
        </w:tc>
        <w:tc>
          <w:tcPr>
            <w:tcW w:w="833" w:type="pct"/>
            <w:tcBorders>
              <w:top w:val="single" w:color="000000" w:sz="6" w:space="0"/>
              <w:left w:val="single" w:color="000000" w:sz="6" w:space="0"/>
              <w:bottom w:val="single" w:color="000000" w:sz="6" w:space="0"/>
              <w:right w:val="single" w:color="000000" w:sz="6" w:space="0"/>
            </w:tcBorders>
          </w:tcPr>
          <w:p>
            <w:pPr>
              <w:keepNext w:val="0"/>
              <w:keepLines w:val="0"/>
              <w:suppressLineNumbers w:val="0"/>
              <w:spacing w:before="0" w:beforeAutospacing="0" w:after="0" w:afterAutospacing="0" w:line="360" w:lineRule="auto"/>
              <w:ind w:left="0" w:right="0"/>
              <w:jc w:val="center"/>
              <w:rPr>
                <w:rStyle w:val="136"/>
                <w:rFonts w:hint="default"/>
                <w:sz w:val="21"/>
                <w:szCs w:val="21"/>
              </w:rPr>
            </w:pPr>
            <w:r>
              <w:rPr>
                <w:rStyle w:val="136"/>
                <w:rFonts w:hint="default"/>
                <w:sz w:val="21"/>
                <w:szCs w:val="21"/>
              </w:rPr>
              <w:t>发现问题</w:t>
            </w:r>
          </w:p>
        </w:tc>
        <w:tc>
          <w:tcPr>
            <w:tcW w:w="324"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得分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25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w:t>
            </w:r>
          </w:p>
        </w:tc>
        <w:tc>
          <w:tcPr>
            <w:tcW w:w="44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一票否决</w:t>
            </w:r>
          </w:p>
        </w:tc>
        <w:tc>
          <w:tcPr>
            <w:tcW w:w="2856" w:type="pct"/>
            <w:gridSpan w:val="2"/>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出现以下其中一种情况的，当季考核分数评为不合格，</w:t>
            </w:r>
            <w:r>
              <w:rPr>
                <w:rStyle w:val="155"/>
                <w:rFonts w:hint="default" w:ascii="宋体" w:hAnsi="宋体"/>
                <w:sz w:val="21"/>
                <w:szCs w:val="21"/>
              </w:rPr>
              <w:t>甲方</w:t>
            </w:r>
            <w:r>
              <w:rPr>
                <w:rStyle w:val="155"/>
                <w:rFonts w:hint="default" w:ascii="宋体" w:hAnsi="宋体" w:eastAsia="宋体"/>
                <w:sz w:val="21"/>
                <w:szCs w:val="21"/>
              </w:rPr>
              <w:t>有权解除合同，</w:t>
            </w:r>
            <w:r>
              <w:rPr>
                <w:rStyle w:val="155"/>
                <w:rFonts w:hint="default" w:ascii="宋体" w:hAnsi="宋体"/>
                <w:sz w:val="21"/>
                <w:szCs w:val="21"/>
              </w:rPr>
              <w:t>乙方</w:t>
            </w:r>
            <w:r>
              <w:rPr>
                <w:rStyle w:val="155"/>
                <w:rFonts w:hint="default" w:ascii="宋体" w:hAnsi="宋体" w:eastAsia="宋体"/>
                <w:sz w:val="21"/>
                <w:szCs w:val="21"/>
              </w:rPr>
              <w:t>须向</w:t>
            </w:r>
            <w:r>
              <w:rPr>
                <w:rStyle w:val="155"/>
                <w:rFonts w:hint="default" w:ascii="宋体" w:hAnsi="宋体"/>
                <w:sz w:val="21"/>
                <w:szCs w:val="21"/>
              </w:rPr>
              <w:t>甲方</w:t>
            </w:r>
            <w:r>
              <w:rPr>
                <w:rStyle w:val="155"/>
                <w:rFonts w:hint="default" w:ascii="宋体" w:hAnsi="宋体" w:eastAsia="宋体"/>
                <w:sz w:val="21"/>
                <w:szCs w:val="21"/>
              </w:rPr>
              <w:t>支付合同总价20%作为违约金，并赔偿采购人因此产生的全部损失：</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营业执照、固定污染源排污登记表/排污许可证等证照不齐全或不在有效期内。</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 xml:space="preserve">连续3次未按采购人需求提供货物，或连续3次验收发现置换物资不符合合同约定。 </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回收废处方纸时，未按要求在院内破碎废处方纸便外运的。</w:t>
            </w:r>
          </w:p>
          <w:p>
            <w:pPr>
              <w:keepNext w:val="0"/>
              <w:keepLines w:val="0"/>
              <w:numPr>
                <w:ilvl w:val="0"/>
                <w:numId w:val="16"/>
              </w:numPr>
              <w:suppressLineNumbers w:val="0"/>
              <w:spacing w:before="0" w:beforeAutospacing="0" w:after="0" w:afterAutospacing="0" w:line="360" w:lineRule="auto"/>
              <w:ind w:right="0"/>
              <w:jc w:val="left"/>
              <w:rPr>
                <w:rStyle w:val="155"/>
                <w:rFonts w:hint="default" w:eastAsia="宋体"/>
                <w:sz w:val="21"/>
              </w:rPr>
            </w:pPr>
            <w:r>
              <w:rPr>
                <w:rStyle w:val="155"/>
                <w:rFonts w:hint="default" w:eastAsia="宋体"/>
                <w:sz w:val="21"/>
              </w:rPr>
              <w:t>出现2 次以上不能按合同要求开展可回收物收运工作</w:t>
            </w:r>
            <w:r>
              <w:rPr>
                <w:rStyle w:val="155"/>
                <w:rFonts w:hint="eastAsia"/>
                <w:sz w:val="21"/>
                <w:lang w:val="en-US" w:eastAsia="zh-CN"/>
              </w:rPr>
              <w:t>的</w:t>
            </w:r>
            <w:r>
              <w:rPr>
                <w:rStyle w:val="155"/>
                <w:rFonts w:hint="eastAsia"/>
                <w:sz w:val="21"/>
                <w:lang w:eastAsia="zh-CN"/>
              </w:rPr>
              <w:t>。</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eastAsia="宋体"/>
                <w:sz w:val="21"/>
              </w:rPr>
              <w:t>违约情况或违规不按要求生产再生产品</w:t>
            </w:r>
            <w:r>
              <w:rPr>
                <w:rStyle w:val="155"/>
                <w:rFonts w:hint="eastAsia"/>
                <w:sz w:val="21"/>
                <w:lang w:val="en-US" w:eastAsia="zh-CN"/>
              </w:rPr>
              <w:t>的。</w:t>
            </w:r>
          </w:p>
        </w:tc>
        <w:tc>
          <w:tcPr>
            <w:tcW w:w="285"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w:t>
            </w:r>
          </w:p>
        </w:tc>
        <w:tc>
          <w:tcPr>
            <w:tcW w:w="833"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6" w:type="pct"/>
            <w:tcBorders>
              <w:top w:val="single" w:color="auto"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2</w:t>
            </w:r>
          </w:p>
        </w:tc>
        <w:tc>
          <w:tcPr>
            <w:tcW w:w="44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服务人员</w:t>
            </w:r>
          </w:p>
        </w:tc>
        <w:tc>
          <w:tcPr>
            <w:tcW w:w="2856" w:type="pct"/>
            <w:gridSpan w:val="2"/>
            <w:tcBorders>
              <w:top w:val="single" w:color="000000" w:sz="6" w:space="0"/>
              <w:left w:val="single" w:color="000000" w:sz="6" w:space="0"/>
              <w:bottom w:val="single" w:color="auto" w:sz="6" w:space="0"/>
              <w:right w:val="single" w:color="000000" w:sz="6" w:space="0"/>
            </w:tcBorders>
            <w:vAlign w:val="center"/>
          </w:tcPr>
          <w:p>
            <w:pPr>
              <w:keepNext w:val="0"/>
              <w:keepLines w:val="0"/>
              <w:numPr>
                <w:ilvl w:val="0"/>
                <w:numId w:val="17"/>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服务人员未穿着工作服并佩戴工作牌的，扣2.5分/次。</w:t>
            </w:r>
          </w:p>
          <w:p>
            <w:pPr>
              <w:keepNext w:val="0"/>
              <w:keepLines w:val="0"/>
              <w:numPr>
                <w:ilvl w:val="0"/>
                <w:numId w:val="17"/>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管理人员、服务人员态度差的，扣5分/次。</w:t>
            </w:r>
          </w:p>
          <w:p>
            <w:pPr>
              <w:keepNext w:val="0"/>
              <w:keepLines w:val="0"/>
              <w:numPr>
                <w:ilvl w:val="0"/>
                <w:numId w:val="17"/>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10</w:t>
            </w:r>
          </w:p>
        </w:tc>
        <w:tc>
          <w:tcPr>
            <w:tcW w:w="833"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5" w:hRule="atLeast"/>
        </w:trPr>
        <w:tc>
          <w:tcPr>
            <w:tcW w:w="25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3</w:t>
            </w:r>
          </w:p>
        </w:tc>
        <w:tc>
          <w:tcPr>
            <w:tcW w:w="44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服务质量</w:t>
            </w:r>
          </w:p>
        </w:tc>
        <w:tc>
          <w:tcPr>
            <w:tcW w:w="2856" w:type="pct"/>
            <w:gridSpan w:val="2"/>
            <w:tcBorders>
              <w:top w:val="single" w:color="000000" w:sz="6" w:space="0"/>
              <w:left w:val="single" w:color="000000" w:sz="6" w:space="0"/>
              <w:bottom w:val="single" w:color="auto" w:sz="6" w:space="0"/>
              <w:right w:val="single" w:color="000000" w:sz="6" w:space="0"/>
            </w:tcBorders>
            <w:vAlign w:val="center"/>
          </w:tcPr>
          <w:p>
            <w:pPr>
              <w:keepNext w:val="0"/>
              <w:keepLines w:val="0"/>
              <w:numPr>
                <w:ilvl w:val="0"/>
                <w:numId w:val="18"/>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未按规定品类回收，或出现拒收合规品类现象的，扣3分/次。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回收过程中未严格按照操作规范分类、称重、计价的，扣2分/次。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回收场地分类区域不清晰，或乱堆乱放的，扣2分/次。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回收完毕后未及时清理回收场地，扣2分/次。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回收过程产生污水、废气或噪声污染的，扣3分/次。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作业时损坏采购人损坏采购人物业、设施设备如电梯、门、柱、墙、工具、集水井水泵、水管等的，扣3分/次。</w:t>
            </w:r>
          </w:p>
          <w:p>
            <w:pPr>
              <w:keepNext w:val="0"/>
              <w:keepLines w:val="0"/>
              <w:numPr>
                <w:ilvl w:val="0"/>
                <w:numId w:val="18"/>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未按频次要求到广州医科大学附属番禺中心医院及广州市番禺区第七人民医院收运的或配送置换物资的，扣3分/次。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未按采购人要求配送置换物资到广州医科大学附属番禺中心医院及广州市番禺区第七人民医院指定区域的，扣3分/次。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接到服务需求后未在约定时间内响应并及时提供服务的，扣5分/次。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回收过程中不服从现场管理的，扣2分/次。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未及时处理投诉，投诉处理响应时间＞24小时或处理完结率＜100%的，扣2分/次。</w:t>
            </w:r>
          </w:p>
          <w:p>
            <w:pPr>
              <w:keepNext w:val="0"/>
              <w:keepLines w:val="0"/>
              <w:numPr>
                <w:ilvl w:val="0"/>
                <w:numId w:val="18"/>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70</w:t>
            </w:r>
          </w:p>
        </w:tc>
        <w:tc>
          <w:tcPr>
            <w:tcW w:w="833"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4</w:t>
            </w:r>
          </w:p>
        </w:tc>
        <w:tc>
          <w:tcPr>
            <w:tcW w:w="44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安全生产</w:t>
            </w:r>
          </w:p>
        </w:tc>
        <w:tc>
          <w:tcPr>
            <w:tcW w:w="2856" w:type="pct"/>
            <w:gridSpan w:val="2"/>
            <w:tcBorders>
              <w:top w:val="single" w:color="000000" w:sz="6" w:space="0"/>
              <w:left w:val="single" w:color="000000" w:sz="6" w:space="0"/>
              <w:bottom w:val="single" w:color="auto" w:sz="4" w:space="0"/>
              <w:right w:val="single" w:color="000000" w:sz="6" w:space="0"/>
            </w:tcBorders>
            <w:vAlign w:val="center"/>
          </w:tcPr>
          <w:p>
            <w:pPr>
              <w:keepNext w:val="0"/>
              <w:keepLines w:val="0"/>
              <w:numPr>
                <w:ilvl w:val="0"/>
                <w:numId w:val="19"/>
              </w:numPr>
              <w:suppressLineNumbers w:val="0"/>
              <w:spacing w:before="0" w:beforeAutospacing="0" w:after="0" w:afterAutospacing="0" w:line="360" w:lineRule="auto"/>
              <w:ind w:right="0"/>
              <w:rPr>
                <w:rStyle w:val="155"/>
                <w:rFonts w:hint="default" w:ascii="宋体" w:hAnsi="宋体" w:eastAsia="宋体"/>
                <w:sz w:val="21"/>
                <w:szCs w:val="21"/>
              </w:rPr>
            </w:pPr>
            <w:r>
              <w:rPr>
                <w:rStyle w:val="155"/>
                <w:rFonts w:hint="default" w:ascii="宋体" w:hAnsi="宋体" w:eastAsia="宋体"/>
                <w:sz w:val="21"/>
                <w:szCs w:val="21"/>
              </w:rPr>
              <w:t>作业时未按规范做好安全措施的，扣10分/次。</w:t>
            </w:r>
          </w:p>
          <w:p>
            <w:pPr>
              <w:keepNext w:val="0"/>
              <w:keepLines w:val="0"/>
              <w:numPr>
                <w:ilvl w:val="0"/>
                <w:numId w:val="19"/>
              </w:numPr>
              <w:suppressLineNumbers w:val="0"/>
              <w:spacing w:before="0" w:beforeAutospacing="0" w:after="0" w:afterAutospacing="0" w:line="360" w:lineRule="auto"/>
              <w:ind w:right="0"/>
              <w:rPr>
                <w:rFonts w:hint="default" w:ascii="宋体" w:hAnsi="宋体"/>
                <w:szCs w:val="21"/>
              </w:rPr>
            </w:pPr>
            <w:r>
              <w:rPr>
                <w:rStyle w:val="155"/>
                <w:rFonts w:hint="default" w:ascii="宋体" w:hAnsi="宋体" w:eastAsia="宋体"/>
                <w:sz w:val="21"/>
                <w:szCs w:val="21"/>
              </w:rPr>
              <w:t>回收过程中出现安全事故、火情或其他不良事件的，扣10分/次。</w:t>
            </w:r>
          </w:p>
        </w:tc>
        <w:tc>
          <w:tcPr>
            <w:tcW w:w="285"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20</w:t>
            </w:r>
          </w:p>
        </w:tc>
        <w:tc>
          <w:tcPr>
            <w:tcW w:w="833" w:type="pct"/>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558" w:type="pct"/>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总分</w:t>
            </w:r>
          </w:p>
        </w:tc>
        <w:tc>
          <w:tcPr>
            <w:tcW w:w="28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100</w:t>
            </w:r>
          </w:p>
        </w:tc>
        <w:tc>
          <w:tcPr>
            <w:tcW w:w="8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000" w:type="pct"/>
            <w:gridSpan w:val="7"/>
            <w:tcBorders>
              <w:top w:val="single" w:color="auto" w:sz="4" w:space="0"/>
              <w:left w:val="nil"/>
              <w:bottom w:val="nil"/>
              <w:right w:val="nil"/>
            </w:tcBorders>
            <w:vAlign w:val="center"/>
          </w:tcPr>
          <w:p>
            <w:pPr>
              <w:keepNext w:val="0"/>
              <w:keepLines w:val="0"/>
              <w:widowControl/>
              <w:suppressLineNumbers w:val="0"/>
              <w:adjustRightInd w:val="0"/>
              <w:snapToGrid w:val="0"/>
              <w:spacing w:before="0" w:beforeAutospacing="0" w:after="0" w:afterAutospacing="0" w:line="360" w:lineRule="auto"/>
              <w:ind w:left="0" w:right="0"/>
              <w:jc w:val="left"/>
              <w:rPr>
                <w:rFonts w:hint="default" w:ascii="宋体" w:hAnsi="宋体"/>
                <w:bCs/>
                <w:szCs w:val="21"/>
              </w:rPr>
            </w:pPr>
            <w:r>
              <w:rPr>
                <w:rFonts w:hint="eastAsia" w:ascii="宋体" w:hAnsi="宋体"/>
                <w:bCs/>
                <w:szCs w:val="21"/>
              </w:rPr>
              <w:t>说明：成交供应商季度考核分数不合格的，视为违约，须向采购人支付违约金：</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w:t>
            </w:r>
            <w:r>
              <w:rPr>
                <w:rFonts w:hint="eastAsia" w:ascii="宋体" w:hAnsi="宋体"/>
                <w:szCs w:val="21"/>
              </w:rPr>
              <w:t>1</w:t>
            </w:r>
            <w:r>
              <w:rPr>
                <w:rFonts w:hint="eastAsia" w:ascii="宋体" w:hAnsi="宋体"/>
                <w:bCs/>
                <w:szCs w:val="21"/>
              </w:rPr>
              <w:t>）总分100分，得分≥90分为合格；</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w:t>
            </w:r>
            <w:r>
              <w:rPr>
                <w:rFonts w:hint="eastAsia" w:ascii="宋体" w:hAnsi="宋体"/>
                <w:szCs w:val="21"/>
              </w:rPr>
              <w:t>2</w:t>
            </w:r>
            <w:r>
              <w:rPr>
                <w:rFonts w:hint="eastAsia" w:ascii="宋体" w:hAnsi="宋体"/>
                <w:bCs/>
                <w:szCs w:val="21"/>
              </w:rPr>
              <w:t>）</w:t>
            </w:r>
            <w:r>
              <w:rPr>
                <w:rFonts w:hint="eastAsia" w:ascii="宋体" w:hAnsi="宋体"/>
                <w:szCs w:val="21"/>
              </w:rPr>
              <w:t xml:space="preserve">90 </w:t>
            </w:r>
            <w:r>
              <w:rPr>
                <w:rFonts w:hint="eastAsia" w:ascii="宋体" w:hAnsi="宋体"/>
                <w:bCs/>
                <w:szCs w:val="21"/>
              </w:rPr>
              <w:t>分＞得分</w:t>
            </w:r>
            <w:r>
              <w:rPr>
                <w:rFonts w:hint="eastAsia" w:ascii="宋体" w:hAnsi="宋体"/>
                <w:szCs w:val="21"/>
              </w:rPr>
              <w:t>≥80</w:t>
            </w:r>
            <w:r>
              <w:rPr>
                <w:rFonts w:hint="eastAsia" w:ascii="宋体" w:hAnsi="宋体"/>
                <w:bCs/>
                <w:szCs w:val="21"/>
              </w:rPr>
              <w:t>分，违约金</w:t>
            </w:r>
            <w:r>
              <w:rPr>
                <w:rFonts w:hint="eastAsia" w:ascii="宋体" w:hAnsi="宋体"/>
                <w:szCs w:val="21"/>
              </w:rPr>
              <w:t>1,000.00</w:t>
            </w:r>
            <w:r>
              <w:rPr>
                <w:rFonts w:hint="eastAsia" w:ascii="宋体" w:hAnsi="宋体"/>
                <w:bCs/>
                <w:szCs w:val="21"/>
              </w:rPr>
              <w:t>元；</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w:t>
            </w:r>
            <w:r>
              <w:rPr>
                <w:rFonts w:hint="eastAsia" w:ascii="宋体" w:hAnsi="宋体"/>
                <w:szCs w:val="21"/>
              </w:rPr>
              <w:t>3</w:t>
            </w:r>
            <w:r>
              <w:rPr>
                <w:rFonts w:hint="eastAsia" w:ascii="宋体" w:hAnsi="宋体"/>
                <w:bCs/>
                <w:szCs w:val="21"/>
              </w:rPr>
              <w:t>）</w:t>
            </w:r>
            <w:r>
              <w:rPr>
                <w:rFonts w:hint="eastAsia" w:ascii="宋体" w:hAnsi="宋体"/>
                <w:szCs w:val="21"/>
              </w:rPr>
              <w:t xml:space="preserve">80 </w:t>
            </w:r>
            <w:r>
              <w:rPr>
                <w:rFonts w:hint="eastAsia" w:ascii="宋体" w:hAnsi="宋体"/>
                <w:bCs/>
                <w:szCs w:val="21"/>
              </w:rPr>
              <w:t>分＞得分</w:t>
            </w:r>
            <w:r>
              <w:rPr>
                <w:rFonts w:hint="eastAsia" w:ascii="宋体" w:hAnsi="宋体"/>
                <w:szCs w:val="21"/>
              </w:rPr>
              <w:t>≥70</w:t>
            </w:r>
            <w:r>
              <w:rPr>
                <w:rFonts w:hint="eastAsia" w:ascii="宋体" w:hAnsi="宋体"/>
                <w:bCs/>
                <w:szCs w:val="21"/>
              </w:rPr>
              <w:t>分，违约金</w:t>
            </w:r>
            <w:r>
              <w:rPr>
                <w:rFonts w:hint="eastAsia" w:ascii="宋体" w:hAnsi="宋体"/>
                <w:szCs w:val="21"/>
              </w:rPr>
              <w:t>3,000.00</w:t>
            </w:r>
            <w:r>
              <w:rPr>
                <w:rFonts w:hint="eastAsia" w:ascii="宋体" w:hAnsi="宋体"/>
                <w:bCs/>
                <w:szCs w:val="21"/>
              </w:rPr>
              <w:t>元；</w:t>
            </w:r>
          </w:p>
          <w:p>
            <w:pPr>
              <w:keepNext w:val="0"/>
              <w:keepLines w:val="0"/>
              <w:suppressLineNumbers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（4）得分＜</w:t>
            </w:r>
            <w:r>
              <w:rPr>
                <w:rFonts w:hint="eastAsia" w:ascii="宋体" w:hAnsi="宋体"/>
                <w:szCs w:val="21"/>
              </w:rPr>
              <w:t>70</w:t>
            </w:r>
            <w:r>
              <w:rPr>
                <w:rFonts w:hint="eastAsia" w:ascii="宋体" w:hAnsi="宋体"/>
                <w:bCs/>
                <w:szCs w:val="21"/>
              </w:rPr>
              <w:t>分，违约金</w:t>
            </w:r>
            <w:r>
              <w:rPr>
                <w:rFonts w:hint="eastAsia" w:ascii="宋体" w:hAnsi="宋体"/>
                <w:szCs w:val="21"/>
              </w:rPr>
              <w:t>5,000.00</w:t>
            </w:r>
            <w:r>
              <w:rPr>
                <w:rFonts w:hint="eastAsia" w:ascii="宋体" w:hAnsi="宋体"/>
                <w:bCs/>
                <w:szCs w:val="21"/>
              </w:rPr>
              <w:t>元；</w:t>
            </w:r>
          </w:p>
          <w:p>
            <w:pPr>
              <w:keepNext w:val="0"/>
              <w:keepLines w:val="0"/>
              <w:suppressLineNumbers w:val="0"/>
              <w:spacing w:before="0" w:beforeAutospacing="0" w:after="0" w:afterAutospacing="0" w:line="360" w:lineRule="auto"/>
              <w:ind w:left="0" w:right="0" w:firstLine="1050" w:firstLineChars="500"/>
              <w:rPr>
                <w:rFonts w:hint="default" w:ascii="宋体" w:hAnsi="宋体"/>
                <w:szCs w:val="21"/>
              </w:rPr>
            </w:pPr>
            <w:r>
              <w:rPr>
                <w:rFonts w:hint="eastAsia" w:ascii="宋体" w:hAnsi="宋体"/>
                <w:szCs w:val="21"/>
              </w:rPr>
              <w:t>（5）如出现一票否决情况，违约金为合同总价的20%。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考核人签名：</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被考核单位确认（签名并加盖公章）：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考核日期：</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确认日期：</w:t>
            </w:r>
          </w:p>
        </w:tc>
      </w:tr>
    </w:tbl>
    <w:p>
      <w:pPr>
        <w:spacing w:line="360" w:lineRule="auto"/>
        <w:ind w:firstLine="480" w:firstLineChars="200"/>
        <w:rPr>
          <w:rFonts w:asciiTheme="minorEastAsia" w:hAnsiTheme="minorEastAsia" w:eastAsiaTheme="minorEastAsia"/>
          <w:sz w:val="24"/>
        </w:rPr>
      </w:pPr>
    </w:p>
    <w:p>
      <w:pPr>
        <w:widowControl/>
        <w:jc w:val="left"/>
        <w:rPr>
          <w:rFonts w:asciiTheme="minorEastAsia" w:hAnsiTheme="minorEastAsia" w:eastAsiaTheme="minorEastAsia"/>
          <w:sz w:val="24"/>
        </w:rPr>
      </w:pPr>
      <w:r>
        <w:rPr>
          <w:rFonts w:hint="eastAsia" w:asciiTheme="minorEastAsia" w:hAnsiTheme="minorEastAsia" w:eastAsiaTheme="minorEastAsia"/>
          <w:sz w:val="24"/>
        </w:rPr>
        <w:br w:type="page"/>
      </w:r>
    </w:p>
    <w:p>
      <w:pPr>
        <w:pStyle w:val="2"/>
        <w:spacing w:before="0" w:after="0" w:line="360" w:lineRule="auto"/>
        <w:ind w:firstLine="640" w:firstLineChars="200"/>
        <w:jc w:val="center"/>
        <w:rPr>
          <w:rFonts w:asciiTheme="minorEastAsia" w:hAnsiTheme="minorEastAsia" w:eastAsiaTheme="minorEastAsia"/>
          <w:color w:val="000000"/>
          <w:kern w:val="0"/>
          <w:sz w:val="32"/>
          <w:szCs w:val="36"/>
        </w:rPr>
      </w:pPr>
      <w:r>
        <w:rPr>
          <w:rFonts w:hint="eastAsia" w:asciiTheme="minorEastAsia" w:hAnsiTheme="minorEastAsia" w:eastAsiaTheme="minorEastAsia"/>
          <w:sz w:val="32"/>
          <w:szCs w:val="36"/>
        </w:rPr>
        <w:t xml:space="preserve">第六部分  </w:t>
      </w:r>
      <w:r>
        <w:rPr>
          <w:rFonts w:hint="eastAsia" w:asciiTheme="minorEastAsia" w:hAnsiTheme="minorEastAsia" w:eastAsiaTheme="minorEastAsia"/>
          <w:color w:val="000000"/>
          <w:kern w:val="0"/>
          <w:sz w:val="32"/>
          <w:szCs w:val="36"/>
        </w:rPr>
        <w:t>响应文件格式</w:t>
      </w:r>
    </w:p>
    <w:p>
      <w:pPr>
        <w:pStyle w:val="12"/>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请响应供应商严格按照表格内容及要求制作响应文件，所有证书类文件提供复印件且必须在有效期内。</w:t>
      </w:r>
    </w:p>
    <w:p>
      <w:pPr>
        <w:pStyle w:val="12"/>
        <w:spacing w:line="480" w:lineRule="auto"/>
        <w:jc w:val="center"/>
        <w:outlineLvl w:val="1"/>
        <w:rPr>
          <w:rFonts w:asciiTheme="minorEastAsia" w:hAnsiTheme="minorEastAsia" w:eastAsiaTheme="minorEastAsia"/>
          <w:b/>
          <w:sz w:val="28"/>
          <w:szCs w:val="24"/>
        </w:rPr>
      </w:pPr>
      <w:r>
        <w:rPr>
          <w:rFonts w:hint="eastAsia" w:asciiTheme="minorEastAsia" w:hAnsiTheme="minorEastAsia" w:eastAsiaTheme="minorEastAsia"/>
          <w:b/>
          <w:sz w:val="28"/>
          <w:szCs w:val="24"/>
        </w:rPr>
        <w:t>格式1  授权委托书</w:t>
      </w:r>
    </w:p>
    <w:p>
      <w:pPr>
        <w:pStyle w:val="12"/>
        <w:spacing w:line="480" w:lineRule="auto"/>
        <w:ind w:firstLine="560" w:firstLineChars="200"/>
        <w:jc w:val="center"/>
        <w:rPr>
          <w:rFonts w:asciiTheme="minorEastAsia" w:hAnsiTheme="minorEastAsia" w:eastAsiaTheme="minorEastAsia"/>
          <w:b/>
          <w:sz w:val="28"/>
          <w:szCs w:val="24"/>
        </w:rPr>
      </w:pPr>
    </w:p>
    <w:p>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兹授权（委托代理人姓名）为我方委托代理人，其权限是：办理“</w:t>
      </w:r>
      <w:r>
        <w:rPr>
          <w:rFonts w:hint="eastAsia" w:asciiTheme="minorEastAsia" w:hAnsiTheme="minorEastAsia" w:eastAsiaTheme="minorEastAsia"/>
          <w:bCs/>
          <w:sz w:val="24"/>
          <w:u w:val="single"/>
          <w:lang w:eastAsia="zh-CN"/>
        </w:rPr>
        <w:t>广州医科大学附属番禺中心医院医疗集团可回收物服务项目（三次）</w:t>
      </w:r>
      <w:r>
        <w:rPr>
          <w:rFonts w:hint="eastAsia" w:asciiTheme="minorEastAsia" w:hAnsiTheme="minorEastAsia" w:eastAsiaTheme="minorEastAsia"/>
          <w:bCs/>
          <w:sz w:val="24"/>
        </w:rPr>
        <w:t>”的询比事宜。本授权书有效期与本公司响应文件中标注的询比有效期相同，自法定代表人签字之日起生效。</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附：代理人性别：年龄：职务：</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身份证号码：</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（营业执照等）注册号码：</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企业类型：</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经营范围：</w:t>
      </w:r>
    </w:p>
    <w:p>
      <w:pPr>
        <w:pStyle w:val="64"/>
        <w:spacing w:line="360" w:lineRule="auto"/>
        <w:ind w:firstLine="480" w:firstLineChars="200"/>
        <w:rPr>
          <w:rFonts w:cs="Courier New" w:asciiTheme="minorEastAsia" w:hAnsiTheme="minorEastAsia" w:eastAsiaTheme="minorEastAsia"/>
          <w:kern w:val="0"/>
          <w:sz w:val="24"/>
          <w:szCs w:val="24"/>
          <w:u w:val="single"/>
        </w:rPr>
      </w:pPr>
      <w:r>
        <w:rPr>
          <w:rFonts w:hint="eastAsia" w:cs="Courier New" w:asciiTheme="minorEastAsia" w:hAnsiTheme="minorEastAsia" w:eastAsiaTheme="minorEastAsia"/>
          <w:kern w:val="0"/>
          <w:sz w:val="24"/>
          <w:szCs w:val="24"/>
        </w:rPr>
        <w:t>　　　　　　　</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w:t>
      </w:r>
    </w:p>
    <w:p>
      <w:pPr>
        <w:pStyle w:val="17"/>
        <w:spacing w:line="360" w:lineRule="auto"/>
        <w:rPr>
          <w:rFonts w:asciiTheme="minorEastAsia" w:hAnsiTheme="minorEastAsia" w:eastAsiaTheme="minorEastAsia"/>
          <w:sz w:val="24"/>
          <w:szCs w:val="24"/>
          <w:u w:val="single"/>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法定代表人（负责人）：（签名）</w:t>
      </w:r>
    </w:p>
    <w:p>
      <w:pPr>
        <w:pStyle w:val="17"/>
        <w:spacing w:line="360" w:lineRule="auto"/>
        <w:ind w:left="3399" w:leftChars="1619"/>
        <w:rPr>
          <w:rFonts w:asciiTheme="minorEastAsia" w:hAnsiTheme="minorEastAsia" w:eastAsiaTheme="minorEastAsia"/>
          <w:sz w:val="24"/>
          <w:szCs w:val="24"/>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授权单位（单位公章）：</w:t>
      </w:r>
    </w:p>
    <w:p>
      <w:pPr>
        <w:pStyle w:val="17"/>
        <w:spacing w:line="360" w:lineRule="auto"/>
        <w:ind w:right="480"/>
        <w:rPr>
          <w:rFonts w:asciiTheme="minorEastAsia" w:hAnsiTheme="minorEastAsia" w:eastAsiaTheme="minorEastAsia"/>
          <w:sz w:val="24"/>
          <w:szCs w:val="24"/>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委托代理人</w:t>
      </w:r>
      <w:r>
        <w:rPr>
          <w:rFonts w:hint="eastAsia" w:asciiTheme="minorEastAsia" w:hAnsiTheme="minorEastAsia" w:eastAsiaTheme="minorEastAsia"/>
          <w:bCs/>
          <w:sz w:val="24"/>
          <w:szCs w:val="24"/>
        </w:rPr>
        <w:t>：</w:t>
      </w:r>
      <w:r>
        <w:rPr>
          <w:rFonts w:hint="eastAsia" w:asciiTheme="minorEastAsia" w:hAnsiTheme="minorEastAsia" w:eastAsiaTheme="minorEastAsia"/>
          <w:sz w:val="24"/>
          <w:szCs w:val="24"/>
        </w:rPr>
        <w:t>（签名）</w:t>
      </w:r>
    </w:p>
    <w:p>
      <w:pPr>
        <w:pStyle w:val="17"/>
        <w:wordWrap w:val="0"/>
        <w:spacing w:line="360" w:lineRule="auto"/>
        <w:ind w:left="3399" w:leftChars="1619"/>
        <w:jc w:val="right"/>
        <w:rPr>
          <w:rFonts w:asciiTheme="minorEastAsia" w:hAnsiTheme="minorEastAsia" w:eastAsiaTheme="minorEastAsia"/>
          <w:sz w:val="24"/>
          <w:szCs w:val="24"/>
        </w:rPr>
      </w:pPr>
      <w:r>
        <w:rPr>
          <w:rFonts w:hint="eastAsia" w:cs="Arial" w:asciiTheme="minorEastAsia" w:hAnsiTheme="minorEastAsia" w:eastAsiaTheme="minorEastAsia"/>
          <w:sz w:val="24"/>
          <w:szCs w:val="24"/>
        </w:rPr>
        <w:t>X</w:t>
      </w:r>
      <w:r>
        <w:rPr>
          <w:rFonts w:cs="Arial" w:asciiTheme="minorEastAsia" w:hAnsiTheme="minorEastAsia" w:eastAsiaTheme="minorEastAsia"/>
          <w:sz w:val="24"/>
          <w:szCs w:val="24"/>
        </w:rPr>
        <w:t>XXX</w:t>
      </w:r>
      <w:r>
        <w:rPr>
          <w:rFonts w:hint="eastAsia" w:cs="Arial" w:asciiTheme="minorEastAsia" w:hAnsiTheme="minorEastAsia" w:eastAsiaTheme="minorEastAsia"/>
          <w:sz w:val="24"/>
          <w:szCs w:val="24"/>
        </w:rPr>
        <w:t>年XX月XX日</w:t>
      </w:r>
    </w:p>
    <w:p>
      <w:pPr>
        <w:pStyle w:val="17"/>
        <w:ind w:left="720" w:hanging="720" w:hangingChars="300"/>
        <w:rPr>
          <w:rFonts w:cs="仿宋_GB2312" w:asciiTheme="minorEastAsia" w:hAnsiTheme="minorEastAsia" w:eastAsiaTheme="minorEastAsia"/>
          <w:sz w:val="24"/>
          <w:szCs w:val="24"/>
        </w:rPr>
      </w:pPr>
    </w:p>
    <w:p>
      <w:pPr>
        <w:pStyle w:val="17"/>
        <w:ind w:left="720" w:hanging="720" w:hangingChars="30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说明：</w:t>
      </w:r>
    </w:p>
    <w:p>
      <w:pPr>
        <w:pStyle w:val="17"/>
        <w:widowControl/>
        <w:numPr>
          <w:ilvl w:val="0"/>
          <w:numId w:val="20"/>
        </w:numPr>
        <w:tabs>
          <w:tab w:val="left" w:pos="360"/>
          <w:tab w:val="clear" w:pos="1264"/>
        </w:tabs>
        <w:ind w:left="360" w:hanging="360"/>
        <w:rPr>
          <w:rFonts w:cs="仿宋_GB2312" w:asciiTheme="minorEastAsia" w:hAnsiTheme="minorEastAsia" w:eastAsiaTheme="minorEastAsia"/>
          <w:b/>
          <w:sz w:val="24"/>
          <w:szCs w:val="24"/>
          <w:lang w:val="zh-CN"/>
        </w:rPr>
      </w:pPr>
      <w:r>
        <w:rPr>
          <w:rFonts w:cs="仿宋_GB2312" w:asciiTheme="minorEastAsia" w:hAnsiTheme="minorEastAsia" w:eastAsiaTheme="minorEastAsia"/>
          <w:b/>
          <w:sz w:val="24"/>
          <w:szCs w:val="24"/>
          <w:lang w:val="zh-CN"/>
        </w:rPr>
        <w:t>法定代表人亲自</w:t>
      </w:r>
      <w:r>
        <w:rPr>
          <w:rFonts w:hint="eastAsia" w:cs="仿宋_GB2312" w:asciiTheme="minorEastAsia" w:hAnsiTheme="minorEastAsia" w:eastAsiaTheme="minorEastAsia"/>
          <w:b/>
          <w:sz w:val="24"/>
          <w:szCs w:val="24"/>
          <w:lang w:val="zh-CN"/>
        </w:rPr>
        <w:t>参加开标并</w:t>
      </w:r>
      <w:r>
        <w:rPr>
          <w:rFonts w:cs="仿宋_GB2312" w:asciiTheme="minorEastAsia" w:hAnsiTheme="minorEastAsia" w:eastAsiaTheme="minorEastAsia"/>
          <w:b/>
          <w:sz w:val="24"/>
          <w:szCs w:val="24"/>
          <w:lang w:val="zh-CN"/>
        </w:rPr>
        <w:t>签署</w:t>
      </w:r>
      <w:r>
        <w:rPr>
          <w:rFonts w:hint="eastAsia" w:cs="仿宋_GB2312" w:asciiTheme="minorEastAsia" w:hAnsiTheme="minorEastAsia" w:eastAsiaTheme="minorEastAsia"/>
          <w:b/>
          <w:sz w:val="24"/>
          <w:szCs w:val="24"/>
          <w:lang w:val="zh-CN"/>
        </w:rPr>
        <w:t>“响应廉洁承诺书”</w:t>
      </w:r>
      <w:r>
        <w:rPr>
          <w:rFonts w:cs="仿宋_GB2312" w:asciiTheme="minorEastAsia" w:hAnsiTheme="minorEastAsia" w:eastAsiaTheme="minorEastAsia"/>
          <w:b/>
          <w:sz w:val="24"/>
          <w:szCs w:val="24"/>
          <w:lang w:val="zh-CN"/>
        </w:rPr>
        <w:t>的，则无需提交本表</w:t>
      </w:r>
      <w:r>
        <w:rPr>
          <w:rFonts w:hint="eastAsia" w:cs="仿宋_GB2312" w:asciiTheme="minorEastAsia" w:hAnsiTheme="minorEastAsia" w:eastAsiaTheme="minorEastAsia"/>
          <w:b/>
          <w:sz w:val="24"/>
          <w:szCs w:val="24"/>
          <w:lang w:val="zh-CN"/>
        </w:rPr>
        <w:t>，但须提交法人身份证复印件。</w:t>
      </w:r>
    </w:p>
    <w:p>
      <w:pPr>
        <w:pStyle w:val="17"/>
        <w:widowControl/>
        <w:numPr>
          <w:ilvl w:val="0"/>
          <w:numId w:val="20"/>
        </w:numPr>
        <w:tabs>
          <w:tab w:val="left" w:pos="360"/>
          <w:tab w:val="clear" w:pos="1264"/>
        </w:tabs>
        <w:ind w:left="360" w:hanging="36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“响应廉洁承诺书”</w:t>
      </w:r>
      <w:r>
        <w:rPr>
          <w:rFonts w:cs="仿宋_GB2312" w:asciiTheme="minorEastAsia" w:hAnsiTheme="minorEastAsia" w:eastAsiaTheme="minorEastAsia"/>
          <w:sz w:val="24"/>
          <w:szCs w:val="24"/>
          <w:lang w:val="zh-CN"/>
        </w:rPr>
        <w:t>由委托代理人签署的，则须提交有单位公章、法定代表人的亲笔签名或盖章、委托代理人的亲笔签名或盖章的本文件，三者缺一不可。</w:t>
      </w:r>
    </w:p>
    <w:p>
      <w:pPr>
        <w:pStyle w:val="17"/>
        <w:widowControl/>
        <w:numPr>
          <w:ilvl w:val="0"/>
          <w:numId w:val="20"/>
        </w:numPr>
        <w:tabs>
          <w:tab w:val="left" w:pos="360"/>
          <w:tab w:val="clear" w:pos="1264"/>
        </w:tabs>
        <w:ind w:left="360" w:hanging="360"/>
        <w:rPr>
          <w:rFonts w:cs="仿宋_GB2312" w:asciiTheme="minorEastAsia" w:hAnsiTheme="minorEastAsia" w:eastAsiaTheme="minorEastAsia"/>
          <w:sz w:val="24"/>
          <w:szCs w:val="24"/>
          <w:lang w:val="zh-CN"/>
        </w:rPr>
      </w:pPr>
      <w:r>
        <w:rPr>
          <w:rFonts w:cs="仿宋_GB2312" w:asciiTheme="minorEastAsia" w:hAnsiTheme="minorEastAsia" w:eastAsiaTheme="minorEastAsia"/>
          <w:sz w:val="24"/>
          <w:szCs w:val="24"/>
          <w:lang w:val="zh-CN"/>
        </w:rPr>
        <w:t>非法人</w:t>
      </w:r>
      <w:r>
        <w:rPr>
          <w:rFonts w:hint="eastAsia" w:cs="仿宋_GB2312" w:asciiTheme="minorEastAsia" w:hAnsiTheme="minorEastAsia" w:eastAsiaTheme="minorEastAsia"/>
          <w:sz w:val="24"/>
          <w:szCs w:val="24"/>
          <w:lang w:val="zh-CN"/>
        </w:rPr>
        <w:t>响应</w:t>
      </w:r>
      <w:r>
        <w:rPr>
          <w:rFonts w:cs="仿宋_GB2312" w:asciiTheme="minorEastAsia" w:hAnsiTheme="minorEastAsia" w:eastAsiaTheme="minorEastAsia"/>
          <w:sz w:val="24"/>
          <w:szCs w:val="24"/>
          <w:lang w:val="zh-CN"/>
        </w:rPr>
        <w:t>的，负责人指《营业执照》上载明的负责人。</w:t>
      </w:r>
    </w:p>
    <w:p>
      <w:pPr>
        <w:pStyle w:val="17"/>
        <w:rPr>
          <w:rFonts w:asciiTheme="minorEastAsia" w:hAnsiTheme="minorEastAsia" w:eastAsiaTheme="minorEastAsia"/>
          <w:b/>
          <w:sz w:val="28"/>
          <w:szCs w:val="28"/>
        </w:rPr>
      </w:pPr>
    </w:p>
    <w:p>
      <w:pPr>
        <w:pStyle w:val="12"/>
        <w:spacing w:line="480" w:lineRule="auto"/>
        <w:jc w:val="center"/>
        <w:outlineLvl w:val="1"/>
        <w:rPr>
          <w:rFonts w:asciiTheme="minorEastAsia" w:hAnsiTheme="minorEastAsia" w:eastAsiaTheme="minorEastAsia"/>
          <w:b/>
          <w:sz w:val="28"/>
          <w:szCs w:val="28"/>
        </w:rPr>
      </w:pPr>
      <w:r>
        <w:rPr>
          <w:rFonts w:asciiTheme="minorEastAsia" w:hAnsiTheme="minorEastAsia" w:eastAsiaTheme="minorEastAsia"/>
          <w:b/>
          <w:sz w:val="24"/>
          <w:szCs w:val="24"/>
        </w:rPr>
        <w:br w:type="page"/>
      </w:r>
      <w:r>
        <w:rPr>
          <w:rFonts w:hint="eastAsia" w:asciiTheme="minorEastAsia" w:hAnsiTheme="minorEastAsia" w:eastAsiaTheme="minorEastAsia"/>
          <w:b/>
          <w:sz w:val="28"/>
          <w:szCs w:val="28"/>
        </w:rPr>
        <w:t>格式2  响应廉洁承诺书（响应供应商）</w:t>
      </w:r>
    </w:p>
    <w:p>
      <w:pPr>
        <w:pStyle w:val="12"/>
        <w:ind w:firstLine="560" w:firstLineChars="200"/>
        <w:jc w:val="center"/>
        <w:rPr>
          <w:rFonts w:asciiTheme="minorEastAsia" w:hAnsiTheme="minorEastAsia" w:eastAsiaTheme="minorEastAsia"/>
          <w:b/>
          <w:sz w:val="28"/>
          <w:szCs w:val="28"/>
        </w:rPr>
      </w:pPr>
    </w:p>
    <w:p>
      <w:pPr>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按照国家卫计委“九不准”工作要求，为进一步加强医院廉洁文化建设，提高反腐倡廉自觉性，规范采购工作，充分体现公平、公正、公开原则根据国家有关法律、法规，按照番禺区中心医院廉洁建设责任制规定，本供应商郑重作出如下承诺：</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将遵循公开、公平、公正和诚实信用的原则参加询比活动。</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所提供的一切材料都是真实、有效、合法的。</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不得通过租借等方式从其他单位获取资格或者资质证书响应。</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不得出现在自己编制的响应文件由其他单位加盖印章和由其他单位负责人签字问题。</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不得与采购人、采购代理机构及其他供应商私下串通协商，进行围标、串标、抬标，控制响应价格。</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不得通过挂靠其他企业方式，一家企业以多家企业的名义去参加同一标的响应。</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不得转让、出租、出借资持证书、人员岗位证书或以其他方式允许他人以本企业名义响应。</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不得向采购人或者评审小组成员行贿以牟取成交。</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不得扰乱医院采购活动的正常秩序。</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不得在开标后进行虚假恶意投诉。</w:t>
      </w:r>
    </w:p>
    <w:p>
      <w:pPr>
        <w:tabs>
          <w:tab w:val="left" w:pos="5040"/>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上述承诺事项均为本企业真实意见表达，愿承担一切责任。若有任何弄虚作假、违反本承诺内容的行为，自愿接受取消响应资格等有关处理，并承担法律责任；如已成交的，自动放弃成交资格；给采购人造成损失的，依法承担赔偿责任。</w:t>
      </w:r>
    </w:p>
    <w:p>
      <w:pPr>
        <w:tabs>
          <w:tab w:val="left" w:pos="5040"/>
        </w:tabs>
        <w:adjustRightInd w:val="0"/>
        <w:snapToGrid w:val="0"/>
        <w:spacing w:line="460" w:lineRule="exact"/>
        <w:rPr>
          <w:rFonts w:asciiTheme="minorEastAsia" w:hAnsiTheme="minorEastAsia" w:eastAsiaTheme="minorEastAsia"/>
          <w:b/>
          <w:sz w:val="24"/>
        </w:rPr>
      </w:pPr>
    </w:p>
    <w:p>
      <w:pPr>
        <w:spacing w:line="360" w:lineRule="auto"/>
        <w:rPr>
          <w:rFonts w:hint="eastAsia" w:asciiTheme="minorEastAsia" w:hAnsiTheme="minorEastAsia" w:eastAsiaTheme="minorEastAsia"/>
          <w:b/>
          <w:sz w:val="24"/>
          <w:lang w:eastAsia="zh-CN"/>
        </w:rPr>
      </w:pPr>
      <w:r>
        <w:rPr>
          <w:rFonts w:hint="eastAsia" w:asciiTheme="minorEastAsia" w:hAnsiTheme="minorEastAsia" w:eastAsiaTheme="minorEastAsia"/>
          <w:b/>
          <w:sz w:val="24"/>
        </w:rPr>
        <w:t>询比项目：</w:t>
      </w:r>
      <w:r>
        <w:rPr>
          <w:rFonts w:hint="eastAsia" w:asciiTheme="minorEastAsia" w:hAnsiTheme="minorEastAsia" w:eastAsiaTheme="minorEastAsia"/>
          <w:b/>
          <w:sz w:val="24"/>
          <w:lang w:eastAsia="zh-CN"/>
        </w:rPr>
        <w:t>广州医科大学附属番禺中心医院医疗集团可回收物服务项目（三次）</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响应供应商（盖章）：</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法定代表人或授权委托人：</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（授权委托人需持有效授权委托书）</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日期：</w:t>
      </w:r>
    </w:p>
    <w:p>
      <w:pPr>
        <w:pStyle w:val="12"/>
        <w:spacing w:line="480" w:lineRule="auto"/>
        <w:jc w:val="center"/>
        <w:outlineLvl w:val="1"/>
        <w:rPr>
          <w:rFonts w:asciiTheme="minorEastAsia" w:hAnsiTheme="minorEastAsia" w:eastAsiaTheme="minorEastAsia"/>
          <w:b/>
          <w:sz w:val="28"/>
          <w:szCs w:val="28"/>
        </w:rPr>
      </w:pPr>
      <w:r>
        <w:rPr>
          <w:rFonts w:hint="eastAsia" w:asciiTheme="minorEastAsia" w:hAnsiTheme="minorEastAsia" w:eastAsiaTheme="minorEastAsia"/>
          <w:b/>
          <w:sz w:val="28"/>
          <w:szCs w:val="28"/>
          <w:lang w:val="en-GB"/>
        </w:rPr>
        <w:br w:type="page"/>
      </w:r>
      <w:r>
        <w:rPr>
          <w:rFonts w:hint="eastAsia" w:asciiTheme="minorEastAsia" w:hAnsiTheme="minorEastAsia" w:eastAsiaTheme="minorEastAsia"/>
          <w:b/>
          <w:sz w:val="28"/>
          <w:szCs w:val="28"/>
          <w:lang w:val="en-GB"/>
        </w:rPr>
        <w:t>格式3  报价</w:t>
      </w:r>
      <w:r>
        <w:rPr>
          <w:rFonts w:hint="eastAsia" w:asciiTheme="minorEastAsia" w:hAnsiTheme="minorEastAsia" w:eastAsiaTheme="minorEastAsia"/>
          <w:b/>
          <w:sz w:val="28"/>
          <w:szCs w:val="28"/>
        </w:rPr>
        <w:t>一览表</w:t>
      </w:r>
    </w:p>
    <w:p>
      <w:pPr>
        <w:pStyle w:val="5"/>
      </w:pPr>
    </w:p>
    <w:p>
      <w:pPr>
        <w:spacing w:line="360" w:lineRule="auto"/>
        <w:ind w:firstLine="480" w:firstLineChars="200"/>
        <w:rPr>
          <w:rFonts w:hint="eastAsia" w:asciiTheme="minorEastAsia" w:hAnsiTheme="minorEastAsia" w:eastAsiaTheme="minorEastAsia"/>
          <w:sz w:val="24"/>
          <w:u w:val="single"/>
          <w:lang w:eastAsia="zh-CN"/>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广州医科大学附属番禺中心医院医疗集团可回收物服务项目（三次）</w:t>
      </w:r>
    </w:p>
    <w:p>
      <w:pPr>
        <w:spacing w:line="360" w:lineRule="auto"/>
        <w:ind w:firstLine="480" w:firstLineChars="200"/>
        <w:rPr>
          <w:rFonts w:asciiTheme="minorEastAsia" w:hAnsiTheme="minorEastAsia" w:eastAsiaTheme="minorEastAsia"/>
          <w:b/>
          <w:sz w:val="24"/>
        </w:rPr>
      </w:pPr>
      <w:r>
        <w:rPr>
          <w:rFonts w:hint="eastAsia" w:asciiTheme="minorEastAsia" w:hAnsiTheme="minorEastAsia" w:eastAsiaTheme="minorEastAsia"/>
          <w:sz w:val="24"/>
        </w:rPr>
        <w:t>响应供应商名称：</w:t>
      </w:r>
    </w:p>
    <w:p>
      <w:pPr>
        <w:pStyle w:val="17"/>
        <w:spacing w:line="360" w:lineRule="auto"/>
        <w:jc w:val="right"/>
        <w:rPr>
          <w:rFonts w:asciiTheme="minorEastAsia" w:hAnsiTheme="minorEastAsia" w:eastAsiaTheme="minorEastAsia"/>
          <w:sz w:val="24"/>
          <w:szCs w:val="24"/>
        </w:rPr>
      </w:pPr>
      <w:r>
        <w:rPr>
          <w:rFonts w:hint="eastAsia" w:asciiTheme="minorEastAsia" w:hAnsiTheme="minorEastAsia" w:eastAsiaTheme="minorEastAsia"/>
          <w:sz w:val="24"/>
          <w:szCs w:val="24"/>
        </w:rPr>
        <w:t>[货币单位：人民币元]</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3963"/>
        <w:gridCol w:w="2407"/>
        <w:gridCol w:w="2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序号</w:t>
            </w:r>
          </w:p>
        </w:tc>
        <w:tc>
          <w:tcPr>
            <w:tcW w:w="3963"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报价类别</w:t>
            </w: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报价比率</w:t>
            </w:r>
          </w:p>
        </w:tc>
        <w:tc>
          <w:tcPr>
            <w:tcW w:w="2407"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1</w:t>
            </w:r>
          </w:p>
        </w:tc>
        <w:tc>
          <w:tcPr>
            <w:tcW w:w="3963"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可回收物上浮率</w:t>
            </w: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2</w:t>
            </w:r>
          </w:p>
        </w:tc>
        <w:tc>
          <w:tcPr>
            <w:tcW w:w="3963"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置换物资折扣率</w:t>
            </w: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r>
    </w:tbl>
    <w:p>
      <w:pPr>
        <w:spacing w:line="360" w:lineRule="auto"/>
        <w:jc w:val="left"/>
        <w:rPr>
          <w:rFonts w:asciiTheme="minorEastAsia" w:hAnsiTheme="minorEastAsia" w:eastAsiaTheme="minorEastAsia"/>
          <w:sz w:val="24"/>
        </w:rPr>
      </w:pPr>
    </w:p>
    <w:p>
      <w:pPr>
        <w:spacing w:line="360" w:lineRule="auto"/>
        <w:jc w:val="left"/>
        <w:rPr>
          <w:rFonts w:hint="eastAsia"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报价要求：</w:t>
      </w:r>
    </w:p>
    <w:p>
      <w:pPr>
        <w:spacing w:line="360" w:lineRule="auto"/>
        <w:jc w:val="left"/>
        <w:rPr>
          <w:rFonts w:hint="default" w:asciiTheme="minorEastAsia" w:hAnsiTheme="minorEastAsia" w:eastAsiaTheme="minorEastAsia"/>
          <w:sz w:val="24"/>
        </w:rPr>
      </w:pPr>
      <w:r>
        <w:rPr>
          <w:rFonts w:hint="default" w:asciiTheme="minorEastAsia" w:hAnsiTheme="minorEastAsia" w:eastAsiaTheme="minorEastAsia"/>
          <w:sz w:val="24"/>
        </w:rPr>
        <w:t>1. 可回收物上浮率</w:t>
      </w:r>
    </w:p>
    <w:p>
      <w:pPr>
        <w:spacing w:line="360" w:lineRule="auto"/>
        <w:jc w:val="left"/>
        <w:rPr>
          <w:rFonts w:hint="default" w:asciiTheme="minorEastAsia" w:hAnsiTheme="minorEastAsia" w:eastAsiaTheme="minorEastAsia"/>
          <w:sz w:val="24"/>
          <w:lang w:val="en-US" w:eastAsia="zh-CN"/>
        </w:rPr>
      </w:pPr>
      <w:r>
        <w:rPr>
          <w:rFonts w:hint="default" w:asciiTheme="minorEastAsia" w:hAnsiTheme="minorEastAsia" w:eastAsiaTheme="minorEastAsia"/>
          <w:sz w:val="24"/>
        </w:rPr>
        <w:t>报价方式：以百分比表示，保留2位小数。上浮率不得低于100.00%（如120.00%），如上浮率低于100.00%，报价无效。上浮率必须为固定的报价（如120.00%），不得存在区间值（如120.00%-125.00%），否则将被视为非实质性响应采购文件，按无效响应处理。</w:t>
      </w:r>
    </w:p>
    <w:p>
      <w:pPr>
        <w:spacing w:line="360" w:lineRule="auto"/>
        <w:jc w:val="left"/>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2.</w:t>
      </w:r>
      <w:r>
        <w:rPr>
          <w:rFonts w:hint="eastAsia" w:asciiTheme="minorEastAsia" w:hAnsiTheme="minorEastAsia" w:eastAsiaTheme="minorEastAsia"/>
          <w:sz w:val="24"/>
        </w:rPr>
        <w:t>置换物资折扣率</w:t>
      </w:r>
    </w:p>
    <w:p>
      <w:pPr>
        <w:spacing w:line="360" w:lineRule="auto"/>
        <w:jc w:val="left"/>
        <w:rPr>
          <w:rFonts w:hint="default" w:asciiTheme="minorEastAsia" w:hAnsiTheme="minorEastAsia" w:eastAsiaTheme="minorEastAsia"/>
          <w:sz w:val="24"/>
          <w:lang w:val="en-US" w:eastAsia="zh-CN"/>
        </w:rPr>
      </w:pPr>
      <w:r>
        <w:rPr>
          <w:rFonts w:hint="eastAsia" w:asciiTheme="minorEastAsia" w:hAnsiTheme="minorEastAsia" w:eastAsiaTheme="minorEastAsia"/>
          <w:sz w:val="24"/>
        </w:rPr>
        <w:t>报价方式：以百分比表示，保留2位小数。折扣率不得超过100.00%（如95.00%），如折扣率高于100.00%，报价无效。折扣率必须为固定的报价（如95.00%），不得存在区间值（如90.00%-95.00%），否则将被视为非实质性响应采购文件，按无效响应处理。</w:t>
      </w:r>
    </w:p>
    <w:p>
      <w:pPr>
        <w:spacing w:line="360" w:lineRule="auto"/>
        <w:jc w:val="left"/>
        <w:rPr>
          <w:rFonts w:asciiTheme="minorEastAsia" w:hAnsiTheme="minorEastAsia" w:eastAsiaTheme="minorEastAsia"/>
          <w:sz w:val="24"/>
        </w:rPr>
      </w:pP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注</w:t>
      </w:r>
      <w:r>
        <w:rPr>
          <w:rFonts w:asciiTheme="minorEastAsia" w:hAnsiTheme="minorEastAsia" w:eastAsiaTheme="minorEastAsia"/>
          <w:sz w:val="24"/>
        </w:rPr>
        <w:t>：</w:t>
      </w:r>
    </w:p>
    <w:p>
      <w:pPr>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1.响应供应商须按要求填写所有信息，不得随意更改本表格式。</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2.响应报价包含的内容及要求见第三部分用户需求书的“报价要求”。</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3.以人民币报价。</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4.请务必检查响应报价的单位、小数点位、数值与分项汇总是否一致。</w:t>
      </w:r>
    </w:p>
    <w:p>
      <w:pPr>
        <w:spacing w:line="360" w:lineRule="auto"/>
        <w:rPr>
          <w:rFonts w:asciiTheme="minorEastAsia" w:hAnsiTheme="minorEastAsia" w:eastAsiaTheme="minorEastAsia"/>
          <w:sz w:val="24"/>
        </w:rPr>
      </w:pPr>
    </w:p>
    <w:p>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17"/>
        <w:spacing w:line="360" w:lineRule="auto"/>
        <w:ind w:left="850" w:hanging="849" w:hangingChars="354"/>
        <w:rPr>
          <w:rFonts w:asciiTheme="minorEastAsia" w:hAnsiTheme="minorEastAsia" w:eastAsiaTheme="minorEastAsia"/>
          <w:sz w:val="24"/>
          <w:szCs w:val="24"/>
        </w:rPr>
      </w:pPr>
    </w:p>
    <w:p>
      <w:pPr>
        <w:pStyle w:val="12"/>
        <w:spacing w:line="480" w:lineRule="auto"/>
        <w:outlineLvl w:val="1"/>
        <w:rPr>
          <w:rFonts w:hint="eastAsia"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br w:type="page"/>
      </w:r>
    </w:p>
    <w:p>
      <w:pPr>
        <w:pStyle w:val="12"/>
        <w:spacing w:line="480" w:lineRule="auto"/>
        <w:jc w:val="center"/>
        <w:outlineLvl w:val="1"/>
        <w:rPr>
          <w:rFonts w:hint="eastAsia"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4       分项报价表</w:t>
      </w:r>
    </w:p>
    <w:p>
      <w:pPr>
        <w:pStyle w:val="2"/>
        <w:adjustRightInd w:val="0"/>
        <w:snapToGrid w:val="0"/>
        <w:spacing w:line="360" w:lineRule="auto"/>
        <w:ind w:firstLine="560" w:firstLineChars="200"/>
        <w:jc w:val="center"/>
        <w:rPr>
          <w:rFonts w:hint="eastAsia" w:asciiTheme="minorEastAsia" w:hAnsiTheme="minorEastAsia" w:eastAsiaTheme="minorEastAsia"/>
          <w:bCs w:val="0"/>
          <w:kern w:val="2"/>
          <w:sz w:val="28"/>
          <w:szCs w:val="28"/>
          <w:lang w:val="en-US" w:eastAsia="zh-CN"/>
        </w:rPr>
      </w:pPr>
      <w:r>
        <w:rPr>
          <w:rFonts w:hint="eastAsia" w:asciiTheme="minorEastAsia" w:hAnsiTheme="minorEastAsia" w:eastAsiaTheme="minorEastAsia"/>
          <w:bCs w:val="0"/>
          <w:kern w:val="2"/>
          <w:sz w:val="28"/>
          <w:szCs w:val="28"/>
          <w:lang w:val="en-US" w:eastAsia="zh-CN"/>
        </w:rPr>
        <w:t>一、</w:t>
      </w:r>
      <w:r>
        <w:rPr>
          <w:rFonts w:hint="eastAsia" w:asciiTheme="minorEastAsia" w:hAnsiTheme="minorEastAsia" w:eastAsiaTheme="minorEastAsia"/>
          <w:bCs w:val="0"/>
          <w:kern w:val="2"/>
          <w:sz w:val="28"/>
          <w:szCs w:val="28"/>
        </w:rPr>
        <w:t>可回收物</w:t>
      </w:r>
      <w:r>
        <w:rPr>
          <w:rFonts w:hint="eastAsia" w:asciiTheme="minorEastAsia" w:hAnsiTheme="minorEastAsia" w:eastAsiaTheme="minorEastAsia"/>
          <w:bCs w:val="0"/>
          <w:kern w:val="2"/>
          <w:sz w:val="28"/>
          <w:szCs w:val="28"/>
          <w:lang w:val="en-US" w:eastAsia="zh-CN"/>
        </w:rPr>
        <w:t>分项报价表</w:t>
      </w:r>
    </w:p>
    <w:tbl>
      <w:tblPr>
        <w:tblStyle w:val="37"/>
        <w:tblW w:w="4816" w:type="pct"/>
        <w:jc w:val="center"/>
        <w:tblLayout w:type="autofit"/>
        <w:tblCellMar>
          <w:top w:w="15" w:type="dxa"/>
          <w:left w:w="15" w:type="dxa"/>
          <w:bottom w:w="15" w:type="dxa"/>
          <w:right w:w="15" w:type="dxa"/>
        </w:tblCellMar>
      </w:tblPr>
      <w:tblGrid>
        <w:gridCol w:w="553"/>
        <w:gridCol w:w="2901"/>
        <w:gridCol w:w="1915"/>
        <w:gridCol w:w="1305"/>
        <w:gridCol w:w="2421"/>
      </w:tblGrid>
      <w:tr>
        <w:tblPrEx>
          <w:tblCellMar>
            <w:top w:w="15" w:type="dxa"/>
            <w:left w:w="15" w:type="dxa"/>
            <w:bottom w:w="15" w:type="dxa"/>
            <w:right w:w="15" w:type="dxa"/>
          </w:tblCellMar>
        </w:tblPrEx>
        <w:trPr>
          <w:trHeight w:val="283" w:hRule="atLeast"/>
          <w:jc w:val="center"/>
        </w:trPr>
        <w:tc>
          <w:tcPr>
            <w:tcW w:w="304"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序号</w:t>
            </w:r>
          </w:p>
        </w:tc>
        <w:tc>
          <w:tcPr>
            <w:tcW w:w="1594"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名称</w:t>
            </w:r>
          </w:p>
        </w:tc>
        <w:tc>
          <w:tcPr>
            <w:tcW w:w="1052" w:type="pct"/>
            <w:vMerge w:val="restart"/>
            <w:tcBorders>
              <w:top w:val="single" w:color="000000" w:sz="4" w:space="0"/>
              <w:left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最低单价限价</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（元/</w:t>
            </w:r>
            <w:r>
              <w:rPr>
                <w:rFonts w:hint="default" w:ascii="宋体" w:hAnsi="宋体"/>
                <w:szCs w:val="21"/>
              </w:rPr>
              <w:t>KG</w:t>
            </w:r>
            <w:r>
              <w:rPr>
                <w:rFonts w:hint="eastAsia" w:ascii="宋体" w:hAnsi="宋体"/>
                <w:szCs w:val="21"/>
              </w:rPr>
              <w:t>）</w:t>
            </w:r>
          </w:p>
        </w:tc>
        <w:tc>
          <w:tcPr>
            <w:tcW w:w="717" w:type="pc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szCs w:val="21"/>
              </w:rPr>
            </w:pPr>
          </w:p>
        </w:tc>
        <w:tc>
          <w:tcPr>
            <w:tcW w:w="1330" w:type="pc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szCs w:val="21"/>
              </w:rPr>
            </w:pPr>
          </w:p>
        </w:tc>
      </w:tr>
      <w:tr>
        <w:tblPrEx>
          <w:tblCellMar>
            <w:top w:w="15" w:type="dxa"/>
            <w:left w:w="15" w:type="dxa"/>
            <w:bottom w:w="15" w:type="dxa"/>
            <w:right w:w="15" w:type="dxa"/>
          </w:tblCellMar>
        </w:tblPrEx>
        <w:trPr>
          <w:trHeight w:val="283" w:hRule="atLeast"/>
          <w:jc w:val="center"/>
        </w:trPr>
        <w:tc>
          <w:tcPr>
            <w:tcW w:w="304"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1594"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1052" w:type="pct"/>
            <w:vMerge w:val="continue"/>
            <w:tcBorders>
              <w:left w:val="single" w:color="000000" w:sz="4" w:space="0"/>
              <w:bottom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717" w:type="pct"/>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szCs w:val="21"/>
                <w:lang w:val="en-US" w:eastAsia="zh-CN"/>
              </w:rPr>
            </w:pPr>
            <w:r>
              <w:rPr>
                <w:rFonts w:hint="eastAsia" w:ascii="宋体" w:hAnsi="宋体"/>
                <w:szCs w:val="21"/>
                <w:lang w:val="en-US" w:eastAsia="zh-CN"/>
              </w:rPr>
              <w:t>上浮率</w:t>
            </w:r>
          </w:p>
        </w:tc>
        <w:tc>
          <w:tcPr>
            <w:tcW w:w="1330" w:type="pct"/>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left"/>
              <w:rPr>
                <w:rFonts w:hint="eastAsia" w:ascii="宋体" w:hAnsi="宋体"/>
                <w:szCs w:val="21"/>
                <w:lang w:val="en-US" w:eastAsia="zh-CN"/>
              </w:rPr>
            </w:pPr>
            <w:r>
              <w:rPr>
                <w:rFonts w:hint="eastAsia" w:ascii="宋体" w:hAnsi="宋体"/>
                <w:szCs w:val="21"/>
                <w:lang w:val="en-US" w:eastAsia="zh-CN"/>
              </w:rPr>
              <w:t>报价单价（元/KG）</w:t>
            </w:r>
          </w:p>
          <w:p>
            <w:pPr>
              <w:keepNext w:val="0"/>
              <w:keepLines w:val="0"/>
              <w:suppressLineNumbers w:val="0"/>
              <w:spacing w:before="0" w:beforeAutospacing="0" w:after="0" w:afterAutospacing="0" w:line="360" w:lineRule="auto"/>
              <w:ind w:left="0" w:right="0"/>
              <w:jc w:val="left"/>
              <w:rPr>
                <w:rFonts w:hint="default" w:ascii="宋体" w:hAnsi="宋体" w:eastAsia="宋体"/>
                <w:szCs w:val="21"/>
                <w:lang w:val="en-US" w:eastAsia="zh-CN"/>
              </w:rPr>
            </w:pPr>
            <w:r>
              <w:rPr>
                <w:rFonts w:hint="eastAsia" w:ascii="宋体" w:hAnsi="宋体"/>
                <w:szCs w:val="21"/>
                <w:lang w:val="en-US" w:eastAsia="zh-CN"/>
              </w:rPr>
              <w:t>（</w:t>
            </w:r>
            <w:r>
              <w:rPr>
                <w:rFonts w:hint="eastAsia" w:ascii="宋体" w:hAnsi="宋体"/>
                <w:szCs w:val="21"/>
              </w:rPr>
              <w:t>最低单价限价</w:t>
            </w:r>
            <w:r>
              <w:rPr>
                <w:rFonts w:hint="eastAsia" w:ascii="宋体" w:hAnsi="宋体"/>
                <w:szCs w:val="21"/>
                <w:lang w:val="en-US" w:eastAsia="zh-CN"/>
              </w:rPr>
              <w:t>*上浮率）</w:t>
            </w: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废塑料输液袋（瓶）</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（未污染）</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717"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2</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废塑料A</w:t>
            </w:r>
            <w:r>
              <w:rPr>
                <w:rFonts w:hint="default" w:ascii="宋体" w:hAnsi="宋体"/>
                <w:szCs w:val="21"/>
              </w:rPr>
              <w:t>B</w:t>
            </w:r>
            <w:r>
              <w:rPr>
                <w:rFonts w:hint="eastAsia" w:ascii="宋体" w:hAnsi="宋体"/>
                <w:szCs w:val="21"/>
              </w:rPr>
              <w:t>胶桶</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废玻璃输液瓶</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4</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废书纸</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5</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废塑料（饮料瓶、胶盆桶、胶瓶等塑料制品）</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0.70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6</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废塑料薄膜（未污染）</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0.50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废纸箱</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废杂纸、</w:t>
            </w:r>
            <w:r>
              <w:rPr>
                <w:rFonts w:hint="default" w:ascii="宋体" w:hAnsi="宋体"/>
                <w:szCs w:val="21"/>
              </w:rPr>
              <w:t>废</w:t>
            </w:r>
            <w:r>
              <w:rPr>
                <w:rFonts w:hint="eastAsia" w:ascii="宋体" w:hAnsi="宋体"/>
                <w:szCs w:val="21"/>
              </w:rPr>
              <w:t>药纸盒</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9</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废铁</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700"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10</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废处方纸</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11</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废报纸</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0.80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12</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废泡沫</w:t>
            </w:r>
          </w:p>
        </w:tc>
        <w:tc>
          <w:tcPr>
            <w:tcW w:w="1052"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592"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13</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废旧床垫</w:t>
            </w:r>
          </w:p>
        </w:tc>
        <w:tc>
          <w:tcPr>
            <w:tcW w:w="1052"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342" w:hRule="atLeast"/>
          <w:jc w:val="center"/>
        </w:trPr>
        <w:tc>
          <w:tcPr>
            <w:tcW w:w="304"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14</w:t>
            </w:r>
          </w:p>
        </w:tc>
        <w:tc>
          <w:tcPr>
            <w:tcW w:w="1594"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废旧木家具</w:t>
            </w:r>
          </w:p>
        </w:tc>
        <w:tc>
          <w:tcPr>
            <w:tcW w:w="1052"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bl>
    <w:p>
      <w:pPr>
        <w:adjustRightInd w:val="0"/>
        <w:snapToGrid w:val="0"/>
        <w:spacing w:line="360" w:lineRule="auto"/>
        <w:ind w:firstLine="0" w:firstLineChars="0"/>
        <w:rPr>
          <w:rFonts w:hint="eastAsia" w:ascii="宋体" w:hAnsi="宋体" w:cs="仿宋"/>
          <w:sz w:val="24"/>
          <w:lang w:val="en-US" w:eastAsia="zh-CN"/>
        </w:rPr>
      </w:pPr>
    </w:p>
    <w:p>
      <w:pPr>
        <w:adjustRightInd w:val="0"/>
        <w:snapToGrid w:val="0"/>
        <w:spacing w:line="360" w:lineRule="auto"/>
        <w:ind w:firstLine="480" w:firstLineChars="200"/>
        <w:rPr>
          <w:rFonts w:hint="eastAsia" w:ascii="宋体" w:hAnsi="宋体" w:cs="仿宋"/>
          <w:sz w:val="24"/>
          <w:lang w:val="en-US" w:eastAsia="zh-CN"/>
        </w:rPr>
      </w:pPr>
    </w:p>
    <w:p>
      <w:pPr>
        <w:spacing w:line="360" w:lineRule="auto"/>
        <w:ind w:left="4252" w:leftChars="2025"/>
        <w:jc w:val="right"/>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adjustRightInd/>
        <w:snapToGrid/>
        <w:spacing w:line="360" w:lineRule="auto"/>
        <w:ind w:left="4252" w:leftChars="2025" w:firstLine="0" w:firstLineChars="0"/>
        <w:jc w:val="right"/>
        <w:rPr>
          <w:rFonts w:hint="eastAsia"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adjustRightInd/>
        <w:snapToGrid/>
        <w:spacing w:line="360" w:lineRule="auto"/>
        <w:ind w:left="4252" w:leftChars="2025" w:firstLine="0" w:firstLineChars="0"/>
        <w:jc w:val="right"/>
        <w:rPr>
          <w:rFonts w:hint="eastAsia" w:cs="Arial" w:asciiTheme="minorEastAsia" w:hAnsiTheme="minorEastAsia" w:eastAsiaTheme="minorEastAsia"/>
          <w:sz w:val="24"/>
          <w:lang w:val="en-US" w:eastAsia="zh-CN"/>
        </w:rPr>
      </w:pPr>
    </w:p>
    <w:p>
      <w:pPr>
        <w:adjustRightInd w:val="0"/>
        <w:snapToGrid w:val="0"/>
        <w:spacing w:line="360" w:lineRule="auto"/>
        <w:ind w:firstLine="560" w:firstLineChars="200"/>
        <w:jc w:val="center"/>
        <w:rPr>
          <w:rFonts w:hint="eastAsia" w:cs="Times New Roman" w:asciiTheme="minorEastAsia" w:hAnsiTheme="minorEastAsia" w:eastAsiaTheme="minorEastAsia"/>
          <w:b/>
          <w:sz w:val="28"/>
          <w:szCs w:val="28"/>
          <w:lang w:val="en-US" w:eastAsia="zh-CN"/>
        </w:rPr>
      </w:pPr>
      <w:r>
        <w:rPr>
          <w:rFonts w:hint="eastAsia" w:cs="Times New Roman" w:asciiTheme="minorEastAsia" w:hAnsiTheme="minorEastAsia" w:eastAsiaTheme="minorEastAsia"/>
          <w:b/>
          <w:sz w:val="28"/>
          <w:szCs w:val="28"/>
          <w:lang w:val="en-US" w:eastAsia="zh-CN"/>
        </w:rPr>
        <w:t>二、置换物资报价表</w:t>
      </w:r>
    </w:p>
    <w:tbl>
      <w:tblPr>
        <w:tblStyle w:val="37"/>
        <w:tblW w:w="5313" w:type="pct"/>
        <w:tblInd w:w="-601" w:type="dxa"/>
        <w:tblLayout w:type="fixed"/>
        <w:tblCellMar>
          <w:top w:w="0" w:type="dxa"/>
          <w:left w:w="108" w:type="dxa"/>
          <w:bottom w:w="0" w:type="dxa"/>
          <w:right w:w="108" w:type="dxa"/>
        </w:tblCellMar>
      </w:tblPr>
      <w:tblGrid>
        <w:gridCol w:w="524"/>
        <w:gridCol w:w="2090"/>
        <w:gridCol w:w="844"/>
        <w:gridCol w:w="3246"/>
        <w:gridCol w:w="988"/>
        <w:gridCol w:w="1016"/>
        <w:gridCol w:w="1523"/>
      </w:tblGrid>
      <w:tr>
        <w:tblPrEx>
          <w:tblCellMar>
            <w:top w:w="0" w:type="dxa"/>
            <w:left w:w="108" w:type="dxa"/>
            <w:bottom w:w="0" w:type="dxa"/>
            <w:right w:w="108" w:type="dxa"/>
          </w:tblCellMar>
        </w:tblPrEx>
        <w:trPr>
          <w:trHeight w:val="5148" w:hRule="atLeast"/>
        </w:trPr>
        <w:tc>
          <w:tcPr>
            <w:tcW w:w="256" w:type="pct"/>
            <w:tcBorders>
              <w:top w:val="single" w:color="auto" w:sz="8" w:space="0"/>
              <w:left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序号</w:t>
            </w:r>
          </w:p>
        </w:tc>
        <w:tc>
          <w:tcPr>
            <w:tcW w:w="1021" w:type="pc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名称</w:t>
            </w:r>
          </w:p>
        </w:tc>
        <w:tc>
          <w:tcPr>
            <w:tcW w:w="412" w:type="pc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容量</w:t>
            </w:r>
          </w:p>
        </w:tc>
        <w:tc>
          <w:tcPr>
            <w:tcW w:w="1586" w:type="pc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规格参数（cm）</w:t>
            </w:r>
          </w:p>
        </w:tc>
        <w:tc>
          <w:tcPr>
            <w:tcW w:w="482" w:type="pct"/>
            <w:tcBorders>
              <w:top w:val="single" w:color="auto" w:sz="4" w:space="0"/>
              <w:left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最高单价限价</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（元/个）</w:t>
            </w:r>
          </w:p>
        </w:tc>
        <w:tc>
          <w:tcPr>
            <w:tcW w:w="496" w:type="pct"/>
            <w:tcBorders>
              <w:top w:val="single" w:color="auto" w:sz="4" w:space="0"/>
              <w:left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折扣率</w:t>
            </w: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宋体"/>
                <w:color w:val="000000"/>
                <w:kern w:val="0"/>
                <w:szCs w:val="21"/>
              </w:rPr>
            </w:pPr>
            <w:r>
              <w:rPr>
                <w:rFonts w:hint="default" w:ascii="宋体" w:hAnsi="宋体" w:cs="宋体"/>
                <w:color w:val="000000"/>
                <w:kern w:val="0"/>
                <w:szCs w:val="21"/>
              </w:rPr>
              <w:t xml:space="preserve">报价单价 (元/个) （最高单价限价 × </w:t>
            </w:r>
            <w:r>
              <w:rPr>
                <w:rFonts w:hint="eastAsia" w:ascii="宋体" w:hAnsi="宋体" w:cs="宋体"/>
                <w:color w:val="000000"/>
                <w:kern w:val="0"/>
                <w:szCs w:val="21"/>
                <w:lang w:val="en-US" w:eastAsia="zh-CN"/>
              </w:rPr>
              <w:t>折扣</w:t>
            </w:r>
            <w:r>
              <w:rPr>
                <w:rFonts w:hint="default" w:ascii="宋体" w:hAnsi="宋体" w:cs="宋体"/>
                <w:color w:val="000000"/>
                <w:kern w:val="0"/>
                <w:szCs w:val="21"/>
              </w:rPr>
              <w:t>率）</w:t>
            </w: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直径12*高13</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Cs w:val="21"/>
              </w:rPr>
            </w:pPr>
            <w:r>
              <w:rPr>
                <w:rFonts w:hint="eastAsia" w:ascii="宋体" w:hAnsi="宋体"/>
                <w:color w:val="000000"/>
                <w:szCs w:val="21"/>
              </w:rPr>
              <w:t>1.10</w:t>
            </w:r>
          </w:p>
        </w:tc>
        <w:tc>
          <w:tcPr>
            <w:tcW w:w="496" w:type="pct"/>
            <w:vMerge w:val="restart"/>
            <w:tcBorders>
              <w:top w:val="single" w:color="auto" w:sz="4" w:space="0"/>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直径14*高15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1.50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直径17*高19</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2.10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直径18*高20</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2.40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5</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直径23*高21</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2.90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直径23*高24</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3.20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7</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长25*宽20*高25.5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5.00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1140"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13升</w:t>
            </w:r>
          </w:p>
        </w:tc>
        <w:tc>
          <w:tcPr>
            <w:tcW w:w="1586" w:type="pct"/>
            <w:tcBorders>
              <w:top w:val="nil"/>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长30*宽20.5*高28.5（桶底：长23.2*宽14.5，投放口：长25*宽8.5）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7.10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855" w:hRule="atLeast"/>
        </w:trPr>
        <w:tc>
          <w:tcPr>
            <w:tcW w:w="256" w:type="pct"/>
            <w:tcBorders>
              <w:top w:val="nil"/>
              <w:left w:val="single" w:color="auto" w:sz="8" w:space="0"/>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9</w:t>
            </w:r>
          </w:p>
        </w:tc>
        <w:tc>
          <w:tcPr>
            <w:tcW w:w="1021"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15升</w:t>
            </w:r>
          </w:p>
        </w:tc>
        <w:tc>
          <w:tcPr>
            <w:tcW w:w="1586" w:type="pct"/>
            <w:tcBorders>
              <w:top w:val="nil"/>
              <w:left w:val="nil"/>
              <w:bottom w:val="single" w:color="auto" w:sz="4"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长30.6*宽22*高30（桶底：23.5*15.8，投放口：24.5*10）</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8.20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w:t>
            </w:r>
          </w:p>
        </w:tc>
        <w:tc>
          <w:tcPr>
            <w:tcW w:w="1021"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25升</w:t>
            </w:r>
          </w:p>
        </w:tc>
        <w:tc>
          <w:tcPr>
            <w:tcW w:w="158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长33.8*宽23.8*高41.5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13.00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11</w:t>
            </w:r>
          </w:p>
        </w:tc>
        <w:tc>
          <w:tcPr>
            <w:tcW w:w="1021"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40升</w:t>
            </w:r>
          </w:p>
        </w:tc>
        <w:tc>
          <w:tcPr>
            <w:tcW w:w="158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长40*宽29*高45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18.00</w:t>
            </w:r>
          </w:p>
        </w:tc>
        <w:tc>
          <w:tcPr>
            <w:tcW w:w="496" w:type="pct"/>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bl>
    <w:p>
      <w:pPr>
        <w:spacing w:line="360" w:lineRule="auto"/>
        <w:ind w:left="4252" w:leftChars="2025"/>
        <w:jc w:val="right"/>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adjustRightInd/>
        <w:snapToGrid/>
        <w:spacing w:line="360" w:lineRule="auto"/>
        <w:ind w:left="4252" w:leftChars="2025" w:firstLine="0" w:firstLineChars="0"/>
        <w:jc w:val="right"/>
        <w:rPr>
          <w:rFonts w:hint="eastAsia" w:ascii="宋体" w:hAnsi="宋体" w:cs="仿宋"/>
          <w:sz w:val="24"/>
          <w:lang w:val="en-US" w:eastAsia="zh-CN"/>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12"/>
        <w:spacing w:line="480" w:lineRule="auto"/>
        <w:outlineLvl w:val="1"/>
        <w:rPr>
          <w:rFonts w:hint="eastAsia" w:asciiTheme="minorEastAsia" w:hAnsiTheme="minorEastAsia" w:eastAsiaTheme="minorEastAsia"/>
          <w:b/>
          <w:sz w:val="28"/>
          <w:szCs w:val="28"/>
          <w:lang w:val="en-GB"/>
        </w:rPr>
      </w:pPr>
    </w:p>
    <w:p>
      <w:pPr>
        <w:pStyle w:val="12"/>
        <w:spacing w:line="480" w:lineRule="auto"/>
        <w:outlineLvl w:val="1"/>
        <w:rPr>
          <w:rFonts w:hint="eastAsia" w:asciiTheme="minorEastAsia" w:hAnsiTheme="minorEastAsia" w:eastAsiaTheme="minorEastAsia"/>
          <w:b/>
          <w:sz w:val="28"/>
          <w:szCs w:val="28"/>
          <w:lang w:val="en-GB"/>
        </w:rPr>
      </w:pPr>
    </w:p>
    <w:p>
      <w:pPr>
        <w:pStyle w:val="12"/>
        <w:spacing w:line="480" w:lineRule="auto"/>
        <w:jc w:val="center"/>
        <w:outlineLvl w:val="1"/>
        <w:rPr>
          <w:rFonts w:hint="default"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5</w:t>
      </w:r>
      <w:r>
        <w:rPr>
          <w:rFonts w:asciiTheme="minorEastAsia" w:hAnsiTheme="minorEastAsia" w:eastAsiaTheme="minorEastAsia"/>
          <w:b/>
          <w:sz w:val="28"/>
          <w:szCs w:val="28"/>
        </w:rPr>
        <w:t xml:space="preserve">  </w:t>
      </w:r>
      <w:r>
        <w:rPr>
          <w:rFonts w:hint="eastAsia" w:asciiTheme="minorEastAsia" w:hAnsiTheme="minorEastAsia" w:eastAsiaTheme="minorEastAsia"/>
          <w:b/>
          <w:sz w:val="28"/>
          <w:szCs w:val="28"/>
          <w:lang w:val="en-GB"/>
        </w:rPr>
        <w:t>法人营业执照副本复印件</w:t>
      </w:r>
      <w:r>
        <w:rPr>
          <w:rFonts w:hint="eastAsia" w:asciiTheme="minorEastAsia" w:hAnsiTheme="minorEastAsia" w:eastAsiaTheme="minorEastAsia"/>
          <w:b/>
          <w:sz w:val="28"/>
          <w:szCs w:val="28"/>
          <w:lang w:val="en-US" w:eastAsia="zh-CN"/>
        </w:rPr>
        <w:t>、</w:t>
      </w:r>
      <w:r>
        <w:rPr>
          <w:rFonts w:hint="eastAsia" w:asciiTheme="minorEastAsia" w:hAnsiTheme="minorEastAsia" w:eastAsiaTheme="minorEastAsia"/>
          <w:b/>
          <w:sz w:val="28"/>
          <w:szCs w:val="28"/>
        </w:rPr>
        <w:t>非联合体投标承诺函、不分包转包承诺函（格式自拟，加盖公章）</w:t>
      </w:r>
    </w:p>
    <w:p>
      <w:pPr>
        <w:jc w:val="center"/>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hint="default"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US" w:eastAsia="zh-CN"/>
        </w:rPr>
        <w:t xml:space="preserve">格式6   </w:t>
      </w:r>
      <w:r>
        <w:rPr>
          <w:rFonts w:hint="eastAsia" w:asciiTheme="minorEastAsia" w:hAnsiTheme="minorEastAsia" w:eastAsiaTheme="minorEastAsia"/>
          <w:b/>
          <w:sz w:val="28"/>
          <w:szCs w:val="28"/>
        </w:rPr>
        <w:t>提供对使用后未被污染输液瓶（袋）等塑料制品、玻璃输液瓶处置项目的固定污染源排污登记表/排污许可证。如供应商委托外单位处置的，须提供有效的委托协议。</w:t>
      </w: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jc w:val="center"/>
        <w:rPr>
          <w:rFonts w:asciiTheme="minorEastAsia" w:hAnsiTheme="minorEastAsia" w:eastAsiaTheme="minorEastAsia"/>
          <w:b/>
          <w:sz w:val="28"/>
          <w:szCs w:val="32"/>
        </w:rPr>
      </w:pPr>
      <w:r>
        <w:rPr>
          <w:rFonts w:hint="eastAsia" w:asciiTheme="minorEastAsia" w:hAnsiTheme="minorEastAsia" w:eastAsiaTheme="minorEastAsia"/>
          <w:b/>
          <w:sz w:val="28"/>
          <w:szCs w:val="32"/>
          <w:lang w:val="en-GB"/>
        </w:rPr>
        <w:t>格式</w:t>
      </w:r>
      <w:r>
        <w:rPr>
          <w:rFonts w:hint="eastAsia" w:asciiTheme="minorEastAsia" w:hAnsiTheme="minorEastAsia" w:eastAsiaTheme="minorEastAsia"/>
          <w:b/>
          <w:sz w:val="28"/>
          <w:szCs w:val="32"/>
          <w:lang w:val="en-US" w:eastAsia="zh-CN"/>
        </w:rPr>
        <w:t>7</w:t>
      </w:r>
      <w:r>
        <w:rPr>
          <w:rFonts w:asciiTheme="minorEastAsia" w:hAnsiTheme="minorEastAsia" w:eastAsiaTheme="minorEastAsia"/>
          <w:b/>
          <w:sz w:val="28"/>
          <w:szCs w:val="32"/>
          <w:lang w:val="en-GB"/>
        </w:rPr>
        <w:t xml:space="preserve">  </w:t>
      </w:r>
      <w:r>
        <w:rPr>
          <w:rFonts w:hint="eastAsia" w:asciiTheme="minorEastAsia" w:hAnsiTheme="minorEastAsia" w:eastAsiaTheme="minorEastAsia"/>
          <w:b/>
          <w:sz w:val="28"/>
          <w:szCs w:val="32"/>
        </w:rPr>
        <w:t>用户需求书响应一览表</w:t>
      </w:r>
    </w:p>
    <w:p>
      <w:pPr>
        <w:pStyle w:val="5"/>
      </w:pPr>
    </w:p>
    <w:tbl>
      <w:tblPr>
        <w:tblStyle w:val="37"/>
        <w:tblW w:w="1051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376"/>
        <w:gridCol w:w="1033"/>
        <w:gridCol w:w="3465"/>
        <w:gridCol w:w="2318"/>
        <w:gridCol w:w="2322"/>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4" w:hRule="atLeast"/>
          <w:jc w:val="center"/>
        </w:trPr>
        <w:tc>
          <w:tcPr>
            <w:tcW w:w="1376"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Theme="minorEastAsia" w:hAnsiTheme="minorEastAsia" w:eastAsiaTheme="minorEastAsia"/>
                <w:sz w:val="24"/>
              </w:rPr>
              <w:t>项目名称：</w:t>
            </w:r>
            <w:r>
              <w:rPr>
                <w:rFonts w:hint="eastAsia" w:asciiTheme="minorEastAsia" w:hAnsiTheme="minorEastAsia" w:eastAsiaTheme="minorEastAsia"/>
                <w:sz w:val="24"/>
                <w:lang w:eastAsia="zh-CN"/>
              </w:rPr>
              <w:t>广州医科大学附属番禺中心医院医疗集团可回收物服务项目（三次）</w:t>
            </w:r>
            <w:r>
              <w:rPr>
                <w:rFonts w:hint="eastAsia" w:ascii="宋体" w:hAnsi="宋体" w:cs="宋体"/>
                <w:sz w:val="24"/>
              </w:rPr>
              <w:t>用户需求</w:t>
            </w:r>
          </w:p>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相应序号</w:t>
            </w:r>
          </w:p>
        </w:tc>
        <w:tc>
          <w:tcPr>
            <w:tcW w:w="1033"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是否“★”号条款</w:t>
            </w:r>
          </w:p>
        </w:tc>
        <w:tc>
          <w:tcPr>
            <w:tcW w:w="346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
                <w:bCs/>
                <w:sz w:val="24"/>
              </w:rPr>
            </w:pPr>
            <w:r>
              <w:rPr>
                <w:rFonts w:hint="eastAsia" w:asciiTheme="minorEastAsia" w:hAnsiTheme="minorEastAsia" w:eastAsiaTheme="minorEastAsia"/>
                <w:b/>
                <w:sz w:val="24"/>
              </w:rPr>
              <w:t>询比文件条款描述</w:t>
            </w:r>
          </w:p>
        </w:tc>
        <w:tc>
          <w:tcPr>
            <w:tcW w:w="2318"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响应情况</w:t>
            </w:r>
          </w:p>
        </w:tc>
        <w:tc>
          <w:tcPr>
            <w:tcW w:w="2322"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偏离说明</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tcBorders>
              <w:top w:val="single" w:color="auto" w:sz="2" w:space="0"/>
            </w:tcBorders>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tcBorders>
              <w:top w:val="single" w:color="auto" w:sz="2" w:space="0"/>
            </w:tcBorders>
            <w:vAlign w:val="center"/>
          </w:tcPr>
          <w:p>
            <w:pPr>
              <w:keepNext w:val="0"/>
              <w:keepLines w:val="0"/>
              <w:suppressLineNumbers w:val="0"/>
              <w:tabs>
                <w:tab w:val="left" w:pos="525"/>
                <w:tab w:val="left" w:pos="846"/>
              </w:tabs>
              <w:autoSpaceDE w:val="0"/>
              <w:autoSpaceDN w:val="0"/>
              <w:adjustRightInd w:val="0"/>
              <w:spacing w:before="0" w:beforeAutospacing="0" w:after="0" w:afterAutospacing="0" w:line="400" w:lineRule="exact"/>
              <w:ind w:left="0" w:right="0"/>
              <w:jc w:val="center"/>
              <w:outlineLvl w:val="1"/>
              <w:rPr>
                <w:rFonts w:hint="default" w:ascii="宋体" w:hAnsi="宋体" w:cs="宋体"/>
                <w:bCs/>
                <w:sz w:val="24"/>
              </w:rPr>
            </w:pPr>
          </w:p>
        </w:tc>
        <w:tc>
          <w:tcPr>
            <w:tcW w:w="2318" w:type="dxa"/>
            <w:tcBorders>
              <w:top w:val="single" w:color="auto" w:sz="2" w:space="0"/>
            </w:tcBorders>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tcBorders>
              <w:top w:val="single" w:color="auto" w:sz="2" w:space="0"/>
            </w:tcBorders>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r>
              <w:rPr>
                <w:rFonts w:hint="default" w:ascii="宋体" w:hAnsi="宋体" w:cs="宋体"/>
                <w:sz w:val="24"/>
              </w:rPr>
              <w:t>……</w:t>
            </w: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bl>
    <w:p>
      <w:pPr>
        <w:spacing w:line="360" w:lineRule="auto"/>
        <w:rPr>
          <w:rFonts w:ascii="宋体" w:hAnsi="宋体"/>
          <w:sz w:val="24"/>
        </w:rPr>
      </w:pPr>
      <w:r>
        <w:rPr>
          <w:rFonts w:hint="eastAsia" w:ascii="宋体" w:hAnsi="宋体"/>
          <w:sz w:val="24"/>
        </w:rPr>
        <w:t>备注：</w:t>
      </w:r>
      <w:r>
        <w:rPr>
          <w:rFonts w:hint="eastAsia" w:ascii="宋体" w:hAnsi="宋体" w:cs="宋体"/>
          <w:sz w:val="24"/>
        </w:rPr>
        <w:t>本表根据</w:t>
      </w:r>
      <w:r>
        <w:rPr>
          <w:rFonts w:hint="eastAsia" w:ascii="宋体" w:hAnsi="宋体"/>
          <w:sz w:val="24"/>
        </w:rPr>
        <w:t>询比文件</w:t>
      </w:r>
      <w:r>
        <w:rPr>
          <w:rFonts w:hint="eastAsia" w:ascii="宋体" w:hAnsi="宋体" w:cs="宋体"/>
          <w:sz w:val="24"/>
        </w:rPr>
        <w:t>用户需求书要求的内容</w:t>
      </w:r>
      <w:r>
        <w:rPr>
          <w:rFonts w:hint="eastAsia" w:ascii="宋体" w:hAnsi="宋体" w:cs="宋体"/>
          <w:b/>
          <w:sz w:val="24"/>
        </w:rPr>
        <w:t>“</w:t>
      </w:r>
      <w:r>
        <w:rPr>
          <w:rFonts w:hint="eastAsia" w:ascii="宋体" w:hAnsi="宋体" w:cs="宋体"/>
          <w:b/>
          <w:color w:val="FF0000"/>
          <w:sz w:val="24"/>
        </w:rPr>
        <w:t>逐条</w:t>
      </w:r>
      <w:r>
        <w:rPr>
          <w:rFonts w:ascii="宋体" w:hAnsi="宋体" w:cs="宋体"/>
          <w:b/>
          <w:color w:val="FF0000"/>
          <w:sz w:val="24"/>
        </w:rPr>
        <w:t>制作</w:t>
      </w:r>
      <w:r>
        <w:rPr>
          <w:rFonts w:hint="eastAsia" w:ascii="宋体" w:hAnsi="宋体" w:cs="宋体"/>
          <w:b/>
          <w:sz w:val="24"/>
        </w:rPr>
        <w:t>”</w:t>
      </w:r>
      <w:r>
        <w:rPr>
          <w:rFonts w:hint="eastAsia" w:ascii="宋体" w:hAnsi="宋体" w:cs="宋体"/>
          <w:sz w:val="24"/>
        </w:rPr>
        <w:t>，对完全响应的条目在上表“响应情况”列中标注“√”。对有偏离的条目在上表“响应情况”列中标注“×”，并在“偏离说明”填写偏离内容。</w:t>
      </w:r>
    </w:p>
    <w:p/>
    <w:p>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5"/>
        <w:ind w:firstLine="0"/>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pStyle w:val="12"/>
        <w:spacing w:line="480" w:lineRule="auto"/>
        <w:jc w:val="center"/>
        <w:outlineLvl w:val="1"/>
        <w:rPr>
          <w:rFonts w:hint="default"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8</w:t>
      </w:r>
      <w:r>
        <w:rPr>
          <w:rFonts w:hint="eastAsia" w:asciiTheme="minorEastAsia" w:hAnsiTheme="minorEastAsia" w:eastAsiaTheme="minorEastAsia"/>
          <w:b/>
          <w:sz w:val="28"/>
          <w:szCs w:val="28"/>
          <w:lang w:val="en-GB"/>
        </w:rPr>
        <w:t xml:space="preserve"> </w:t>
      </w:r>
      <w:r>
        <w:rPr>
          <w:rFonts w:asciiTheme="minorEastAsia" w:hAnsiTheme="minorEastAsia" w:eastAsiaTheme="minorEastAsia"/>
          <w:b/>
          <w:sz w:val="28"/>
          <w:szCs w:val="28"/>
          <w:lang w:val="en-GB"/>
        </w:rPr>
        <w:t xml:space="preserve"> </w:t>
      </w:r>
      <w:r>
        <w:rPr>
          <w:rFonts w:hint="eastAsia" w:asciiTheme="minorEastAsia" w:hAnsiTheme="minorEastAsia" w:eastAsiaTheme="minorEastAsia"/>
          <w:b/>
          <w:sz w:val="28"/>
          <w:szCs w:val="28"/>
          <w:lang w:val="en-GB"/>
        </w:rPr>
        <w:t>同类项目</w:t>
      </w:r>
      <w:r>
        <w:rPr>
          <w:rFonts w:hint="eastAsia" w:asciiTheme="minorEastAsia" w:hAnsiTheme="minorEastAsia" w:eastAsiaTheme="minorEastAsia"/>
          <w:b/>
          <w:sz w:val="28"/>
          <w:szCs w:val="32"/>
        </w:rPr>
        <w:t>业绩</w:t>
      </w:r>
      <w:r>
        <w:rPr>
          <w:rFonts w:hint="eastAsia" w:asciiTheme="minorEastAsia" w:hAnsiTheme="minorEastAsia" w:eastAsiaTheme="minorEastAsia"/>
          <w:b/>
          <w:sz w:val="28"/>
          <w:szCs w:val="28"/>
          <w:lang w:val="en-GB"/>
        </w:rPr>
        <w:t>一览表</w:t>
      </w:r>
    </w:p>
    <w:p>
      <w:pPr>
        <w:pStyle w:val="5"/>
        <w:rPr>
          <w:lang w:val="en-GB"/>
        </w:rPr>
      </w:pP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2"/>
        <w:gridCol w:w="1445"/>
        <w:gridCol w:w="1717"/>
        <w:gridCol w:w="1209"/>
        <w:gridCol w:w="2155"/>
        <w:gridCol w:w="1924"/>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702"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序号</w:t>
            </w:r>
          </w:p>
        </w:tc>
        <w:tc>
          <w:tcPr>
            <w:tcW w:w="144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采购人名称</w:t>
            </w:r>
          </w:p>
        </w:tc>
        <w:tc>
          <w:tcPr>
            <w:tcW w:w="1717"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项目内容</w:t>
            </w:r>
          </w:p>
        </w:tc>
        <w:tc>
          <w:tcPr>
            <w:tcW w:w="1209"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合同总价</w:t>
            </w:r>
          </w:p>
        </w:tc>
        <w:tc>
          <w:tcPr>
            <w:tcW w:w="215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签约日期及完成时间</w:t>
            </w:r>
          </w:p>
        </w:tc>
        <w:tc>
          <w:tcPr>
            <w:tcW w:w="1924"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单位联系人及电话</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bl>
    <w:p>
      <w:pPr>
        <w:pStyle w:val="5"/>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备注：请按评审办法</w:t>
      </w:r>
      <w:r>
        <w:rPr>
          <w:rFonts w:asciiTheme="minorEastAsia" w:hAnsiTheme="minorEastAsia" w:eastAsiaTheme="minorEastAsia"/>
          <w:sz w:val="24"/>
          <w:szCs w:val="24"/>
          <w:lang w:val="en-GB"/>
        </w:rPr>
        <w:t>的</w:t>
      </w:r>
      <w:r>
        <w:rPr>
          <w:rFonts w:hint="eastAsia" w:asciiTheme="minorEastAsia" w:hAnsiTheme="minorEastAsia" w:eastAsiaTheme="minorEastAsia"/>
          <w:sz w:val="24"/>
          <w:szCs w:val="24"/>
          <w:lang w:val="en-GB"/>
        </w:rPr>
        <w:t>要求提供证明文件。</w:t>
      </w: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pStyle w:val="5"/>
        <w:rPr>
          <w:lang w:val="en-GB"/>
        </w:rPr>
      </w:pPr>
    </w:p>
    <w:p>
      <w:pPr>
        <w:pStyle w:val="5"/>
        <w:rPr>
          <w:lang w:val="en-GB"/>
        </w:rPr>
      </w:pPr>
    </w:p>
    <w:p>
      <w:pPr>
        <w:pStyle w:val="5"/>
        <w:rPr>
          <w:lang w:val="en-GB"/>
        </w:rPr>
      </w:pPr>
    </w:p>
    <w:p>
      <w:pPr>
        <w:pStyle w:val="5"/>
        <w:rPr>
          <w:lang w:val="en-GB"/>
        </w:rPr>
      </w:pPr>
    </w:p>
    <w:p>
      <w:pPr>
        <w:pStyle w:val="5"/>
        <w:ind w:firstLine="0"/>
        <w:rPr>
          <w:lang w:val="en-GB"/>
        </w:rPr>
      </w:pPr>
    </w:p>
    <w:p>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9</w:t>
      </w:r>
      <w:r>
        <w:rPr>
          <w:rFonts w:asciiTheme="minorEastAsia" w:hAnsiTheme="minorEastAsia" w:eastAsiaTheme="minorEastAsia"/>
          <w:b/>
          <w:sz w:val="28"/>
          <w:szCs w:val="28"/>
        </w:rPr>
        <w:t xml:space="preserve">  </w:t>
      </w:r>
      <w:r>
        <w:rPr>
          <w:rFonts w:hint="eastAsia" w:asciiTheme="minorEastAsia" w:hAnsiTheme="minorEastAsia" w:eastAsiaTheme="minorEastAsia"/>
          <w:b/>
          <w:sz w:val="28"/>
          <w:szCs w:val="28"/>
          <w:lang w:val="en-GB"/>
        </w:rPr>
        <w:t>响应供应商认为</w:t>
      </w:r>
      <w:r>
        <w:rPr>
          <w:rFonts w:hint="eastAsia" w:asciiTheme="minorEastAsia" w:hAnsiTheme="minorEastAsia" w:eastAsiaTheme="minorEastAsia"/>
          <w:b/>
          <w:sz w:val="28"/>
          <w:szCs w:val="32"/>
        </w:rPr>
        <w:t>需要</w:t>
      </w:r>
      <w:r>
        <w:rPr>
          <w:rFonts w:hint="eastAsia" w:asciiTheme="minorEastAsia" w:hAnsiTheme="minorEastAsia" w:eastAsiaTheme="minorEastAsia"/>
          <w:b/>
          <w:sz w:val="28"/>
          <w:szCs w:val="28"/>
          <w:lang w:val="en-GB"/>
        </w:rPr>
        <w:t>增加的其他</w:t>
      </w:r>
      <w:r>
        <w:rPr>
          <w:rFonts w:hint="eastAsia" w:asciiTheme="minorEastAsia" w:hAnsiTheme="minorEastAsia" w:eastAsiaTheme="minorEastAsia"/>
          <w:b/>
          <w:sz w:val="28"/>
          <w:szCs w:val="28"/>
          <w:lang w:val="en-US" w:eastAsia="zh-CN"/>
        </w:rPr>
        <w:t>材料</w:t>
      </w:r>
    </w:p>
    <w:p>
      <w:pPr>
        <w:pStyle w:val="12"/>
        <w:spacing w:line="480" w:lineRule="auto"/>
        <w:jc w:val="center"/>
        <w:outlineLvl w:val="9"/>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（例如</w:t>
      </w:r>
      <w:r>
        <w:rPr>
          <w:rFonts w:asciiTheme="minorEastAsia" w:hAnsiTheme="minorEastAsia" w:eastAsiaTheme="minorEastAsia"/>
          <w:b/>
          <w:sz w:val="28"/>
          <w:szCs w:val="28"/>
          <w:lang w:val="en-GB"/>
        </w:rPr>
        <w:t>且不仅限于</w:t>
      </w:r>
      <w:r>
        <w:rPr>
          <w:rFonts w:hint="eastAsia" w:asciiTheme="minorEastAsia" w:hAnsiTheme="minorEastAsia" w:eastAsiaTheme="minorEastAsia"/>
          <w:b/>
          <w:sz w:val="28"/>
          <w:szCs w:val="28"/>
          <w:lang w:val="en-GB"/>
        </w:rPr>
        <w:t>可回收物收运方案、置换物资配送方案、安全生产管理方案、应急服务方案、用户评价</w:t>
      </w:r>
      <w:r>
        <w:rPr>
          <w:rFonts w:hint="eastAsia" w:asciiTheme="minorEastAsia" w:hAnsiTheme="minorEastAsia" w:eastAsiaTheme="minorEastAsia"/>
          <w:b/>
          <w:sz w:val="28"/>
          <w:szCs w:val="28"/>
          <w:lang w:val="en-GB" w:eastAsia="zh-CN"/>
        </w:rPr>
        <w:t>、</w:t>
      </w:r>
      <w:r>
        <w:rPr>
          <w:rFonts w:hint="eastAsia" w:asciiTheme="minorEastAsia" w:hAnsiTheme="minorEastAsia" w:eastAsiaTheme="minorEastAsia"/>
          <w:b/>
          <w:sz w:val="28"/>
          <w:szCs w:val="28"/>
          <w:highlight w:val="yellow"/>
          <w:lang w:val="en-US" w:eastAsia="zh-CN"/>
        </w:rPr>
        <w:t>实物样品</w:t>
      </w:r>
      <w:r>
        <w:rPr>
          <w:rFonts w:hint="eastAsia" w:asciiTheme="minorEastAsia" w:hAnsiTheme="minorEastAsia" w:eastAsiaTheme="minorEastAsia"/>
          <w:b/>
          <w:sz w:val="28"/>
          <w:szCs w:val="28"/>
          <w:lang w:val="en-GB"/>
        </w:rPr>
        <w:t>）</w:t>
      </w:r>
    </w:p>
    <w:sectPr>
      <w:headerReference r:id="rId5" w:type="first"/>
      <w:footerReference r:id="rId6" w:type="first"/>
      <w:pgSz w:w="11906" w:h="16838"/>
      <w:pgMar w:top="1247" w:right="1247" w:bottom="1134" w:left="1247" w:header="794" w:footer="794"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Tahoma">
    <w:altName w:val="Verdana"/>
    <w:panose1 w:val="020B0604030504040204"/>
    <w:charset w:val="00"/>
    <w:family w:val="swiss"/>
    <w:pitch w:val="default"/>
    <w:sig w:usb0="00000000" w:usb1="00000000" w:usb2="00000029" w:usb3="00000000" w:csb0="200101FF" w:csb1="20280000"/>
  </w:font>
  <w:font w:name="Verdana">
    <w:panose1 w:val="020B0604030504040204"/>
    <w:charset w:val="00"/>
    <w:family w:val="auto"/>
    <w:pitch w:val="default"/>
    <w:sig w:usb0="A1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Segoe UI">
    <w:altName w:val="Arial"/>
    <w:panose1 w:val="020B0502040204020203"/>
    <w:charset w:val="00"/>
    <w:family w:val="auto"/>
    <w:pitch w:val="default"/>
    <w:sig w:usb0="00000000" w:usb1="00000000"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41"/>
      </w:rPr>
    </w:pPr>
    <w:r>
      <w:fldChar w:fldCharType="begin"/>
    </w:r>
    <w:r>
      <w:rPr>
        <w:rStyle w:val="41"/>
      </w:rPr>
      <w:instrText xml:space="preserve">PAGE  </w:instrText>
    </w:r>
    <w:r>
      <w:fldChar w:fldCharType="end"/>
    </w:r>
  </w:p>
  <w:p>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3"/>
        </w:pPr>
        <w:r>
          <w:fldChar w:fldCharType="begin"/>
        </w:r>
        <w:r>
          <w:instrText xml:space="preserve">PAGE   \* MERGEFORMAT</w:instrText>
        </w:r>
        <w:r>
          <w:fldChar w:fldCharType="separate"/>
        </w:r>
        <w:r>
          <w:rPr>
            <w:lang w:val="zh-CN"/>
          </w:rPr>
          <w:t>7</w:t>
        </w:r>
        <w:r>
          <w:fldChar w:fldCharType="end"/>
        </w:r>
      </w:p>
    </w:sdtContent>
  </w:sdt>
  <w:p>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D7316"/>
    <w:multiLevelType w:val="multilevel"/>
    <w:tmpl w:val="A7AD7316"/>
    <w:lvl w:ilvl="0" w:tentative="0">
      <w:start w:val="1"/>
      <w:numFmt w:val="chineseCounting"/>
      <w:pStyle w:val="145"/>
      <w:lvlText w:val="第%1部分  "/>
      <w:lvlJc w:val="left"/>
      <w:pPr>
        <w:ind w:left="1320" w:hanging="1320"/>
      </w:pPr>
      <w:rPr>
        <w:rFonts w:hint="eastAsia" w:ascii="宋体" w:hAnsi="宋体" w:eastAsia="宋体" w:cs="宋体"/>
        <w:b/>
        <w:sz w:val="32"/>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13F3016E"/>
    <w:multiLevelType w:val="multilevel"/>
    <w:tmpl w:val="13F3016E"/>
    <w:lvl w:ilvl="0" w:tentative="0">
      <w:start w:val="1"/>
      <w:numFmt w:val="decimal"/>
      <w:lvlText w:val="%1."/>
      <w:lvlJc w:val="left"/>
      <w:pPr>
        <w:tabs>
          <w:tab w:val="left" w:pos="1264"/>
        </w:tabs>
        <w:ind w:left="1264"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07F59CC"/>
    <w:multiLevelType w:val="multilevel"/>
    <w:tmpl w:val="207F59CC"/>
    <w:lvl w:ilvl="0" w:tentative="0">
      <w:start w:val="1"/>
      <w:numFmt w:val="japaneseCounting"/>
      <w:lvlText w:val="%1、"/>
      <w:lvlJc w:val="left"/>
      <w:pPr>
        <w:tabs>
          <w:tab w:val="left" w:pos="0"/>
        </w:tabs>
        <w:ind w:left="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5124E07"/>
    <w:multiLevelType w:val="multilevel"/>
    <w:tmpl w:val="25124E07"/>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F034439"/>
    <w:multiLevelType w:val="multilevel"/>
    <w:tmpl w:val="2F034439"/>
    <w:lvl w:ilvl="0" w:tentative="0">
      <w:start w:val="1"/>
      <w:numFmt w:val="chineseCountingThousand"/>
      <w:lvlText w:val="%1、"/>
      <w:lvlJc w:val="left"/>
      <w:pPr>
        <w:ind w:left="425" w:hanging="425"/>
      </w:pPr>
      <w:rPr>
        <w:rFonts w:hint="eastAsia"/>
        <w:color w:val="auto"/>
        <w:sz w:val="24"/>
        <w:szCs w:val="24"/>
      </w:rPr>
    </w:lvl>
    <w:lvl w:ilvl="1" w:tentative="0">
      <w:start w:val="1"/>
      <w:numFmt w:val="chineseCountingThousand"/>
      <w:lvlText w:val="（%2）"/>
      <w:lvlJc w:val="left"/>
      <w:pPr>
        <w:ind w:left="993" w:hanging="567"/>
      </w:pPr>
      <w:rPr>
        <w:rFonts w:hint="eastAsia"/>
        <w:sz w:val="24"/>
        <w:szCs w:val="24"/>
      </w:rPr>
    </w:lvl>
    <w:lvl w:ilvl="2" w:tentative="0">
      <w:start w:val="1"/>
      <w:numFmt w:val="decimal"/>
      <w:lvlText w:val="%3."/>
      <w:lvlJc w:val="left"/>
      <w:pPr>
        <w:ind w:left="1418" w:hanging="567"/>
      </w:pPr>
      <w:rPr>
        <w:rFonts w:hint="eastAsia"/>
        <w:lang w:val="en-US"/>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34A566DE"/>
    <w:multiLevelType w:val="multilevel"/>
    <w:tmpl w:val="34A566DE"/>
    <w:lvl w:ilvl="0" w:tentative="0">
      <w:start w:val="1"/>
      <w:numFmt w:val="decimal"/>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B7E143B"/>
    <w:multiLevelType w:val="multilevel"/>
    <w:tmpl w:val="3B7E143B"/>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150"/>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7">
    <w:nsid w:val="41800886"/>
    <w:multiLevelType w:val="multilevel"/>
    <w:tmpl w:val="4180088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866226B"/>
    <w:multiLevelType w:val="multilevel"/>
    <w:tmpl w:val="4866226B"/>
    <w:lvl w:ilvl="0" w:tentative="0">
      <w:start w:val="1"/>
      <w:numFmt w:val="decimal"/>
      <w:suff w:val="nothing"/>
      <w:lvlText w:val="%1."/>
      <w:lvlJc w:val="left"/>
      <w:pPr>
        <w:ind w:left="420" w:hanging="420"/>
      </w:pPr>
      <w:rPr>
        <w:rFonts w:hint="eastAsia"/>
      </w:rPr>
    </w:lvl>
    <w:lvl w:ilvl="1" w:tentative="0">
      <w:start w:val="0"/>
      <w:numFmt w:val="bullet"/>
      <w:lvlText w:val="★"/>
      <w:lvlJc w:val="left"/>
      <w:pPr>
        <w:ind w:left="780" w:hanging="360"/>
      </w:pPr>
      <w:rPr>
        <w:rFonts w:hint="eastAsia" w:ascii="宋体" w:hAnsi="宋体" w:eastAsia="宋体" w:cs="仿宋"/>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88B0E5D"/>
    <w:multiLevelType w:val="multilevel"/>
    <w:tmpl w:val="588B0E5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68D01A2"/>
    <w:multiLevelType w:val="multilevel"/>
    <w:tmpl w:val="668D01A2"/>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6F211D7F"/>
    <w:multiLevelType w:val="multilevel"/>
    <w:tmpl w:val="6F211D7F"/>
    <w:lvl w:ilvl="0" w:tentative="0">
      <w:start w:val="1"/>
      <w:numFmt w:val="decimal"/>
      <w:suff w:val="nothing"/>
      <w:lvlText w:val="%1."/>
      <w:lvlJc w:val="left"/>
      <w:pPr>
        <w:ind w:left="0" w:firstLine="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70007187"/>
    <w:multiLevelType w:val="multilevel"/>
    <w:tmpl w:val="7000718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5FC0896"/>
    <w:multiLevelType w:val="multilevel"/>
    <w:tmpl w:val="75FC0896"/>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6"/>
  </w:num>
  <w:num w:numId="3">
    <w:abstractNumId w:val="4"/>
  </w:num>
  <w:num w:numId="4">
    <w:abstractNumId w:val="8"/>
  </w:num>
  <w:num w:numId="5">
    <w:abstractNumId w:val="3"/>
  </w:num>
  <w:num w:numId="6">
    <w:abstractNumId w:val="3"/>
    <w:lvlOverride w:ilvl="0">
      <w:lvl w:ilvl="0" w:tentative="1">
        <w:start w:val="1"/>
        <w:numFmt w:val="decimal"/>
        <w:suff w:val="nothing"/>
        <w:lvlText w:val="%1."/>
        <w:lvlJc w:val="left"/>
        <w:pPr>
          <w:ind w:left="420" w:hanging="42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7">
    <w:abstractNumId w:val="3"/>
    <w:lvlOverride w:ilvl="0">
      <w:lvl w:ilvl="0" w:tentative="1">
        <w:start w:val="1"/>
        <w:numFmt w:val="decimal"/>
        <w:suff w:val="nothing"/>
        <w:lvlText w:val="%1."/>
        <w:lvlJc w:val="left"/>
        <w:pPr>
          <w:ind w:left="420" w:hanging="420"/>
        </w:pPr>
        <w:rPr>
          <w:rFonts w:hint="eastAsia" w:ascii="宋体" w:hAnsi="宋体" w:eastAsia="宋体"/>
          <w:sz w:val="24"/>
          <w:szCs w:val="24"/>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8">
    <w:abstractNumId w:val="10"/>
  </w:num>
  <w:num w:numId="9">
    <w:abstractNumId w:val="9"/>
  </w:num>
  <w:num w:numId="10">
    <w:abstractNumId w:val="12"/>
  </w:num>
  <w:num w:numId="11">
    <w:abstractNumId w:val="7"/>
  </w:num>
  <w:num w:numId="12">
    <w:abstractNumId w:val="5"/>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trackRevisions w:val="1"/>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kgOfficeServlet?tolen=b74efd223f6db4ac24140a531ba8696a&amp;tko=KINGGRID_JSAPI&amp;m=s"/>
  </w:docVars>
  <w:rsids>
    <w:rsidRoot w:val="00EC4E26"/>
    <w:rsid w:val="00000188"/>
    <w:rsid w:val="00000AB7"/>
    <w:rsid w:val="00001C3A"/>
    <w:rsid w:val="00002063"/>
    <w:rsid w:val="000042A2"/>
    <w:rsid w:val="00004B41"/>
    <w:rsid w:val="00004F59"/>
    <w:rsid w:val="00006826"/>
    <w:rsid w:val="00006D2C"/>
    <w:rsid w:val="00006DFF"/>
    <w:rsid w:val="00006F32"/>
    <w:rsid w:val="00007E7C"/>
    <w:rsid w:val="00013021"/>
    <w:rsid w:val="00013CD1"/>
    <w:rsid w:val="00014649"/>
    <w:rsid w:val="0001505A"/>
    <w:rsid w:val="000150BC"/>
    <w:rsid w:val="000157E7"/>
    <w:rsid w:val="000160A3"/>
    <w:rsid w:val="000160CE"/>
    <w:rsid w:val="0001793F"/>
    <w:rsid w:val="00017E50"/>
    <w:rsid w:val="000209E5"/>
    <w:rsid w:val="000222B0"/>
    <w:rsid w:val="00022C19"/>
    <w:rsid w:val="00024311"/>
    <w:rsid w:val="0002668D"/>
    <w:rsid w:val="000279A0"/>
    <w:rsid w:val="000307E7"/>
    <w:rsid w:val="00030887"/>
    <w:rsid w:val="000315E7"/>
    <w:rsid w:val="000316DF"/>
    <w:rsid w:val="00032B99"/>
    <w:rsid w:val="00032D76"/>
    <w:rsid w:val="00032E2C"/>
    <w:rsid w:val="00033BD1"/>
    <w:rsid w:val="00034C2E"/>
    <w:rsid w:val="00035607"/>
    <w:rsid w:val="000361B4"/>
    <w:rsid w:val="00036B32"/>
    <w:rsid w:val="000408EE"/>
    <w:rsid w:val="000412AC"/>
    <w:rsid w:val="0004198A"/>
    <w:rsid w:val="00042E3D"/>
    <w:rsid w:val="000434EC"/>
    <w:rsid w:val="00043DCD"/>
    <w:rsid w:val="00043E58"/>
    <w:rsid w:val="00043EB5"/>
    <w:rsid w:val="00043F17"/>
    <w:rsid w:val="0004470A"/>
    <w:rsid w:val="00044E00"/>
    <w:rsid w:val="00044E64"/>
    <w:rsid w:val="000450A9"/>
    <w:rsid w:val="0004519C"/>
    <w:rsid w:val="0004523C"/>
    <w:rsid w:val="00046024"/>
    <w:rsid w:val="00046263"/>
    <w:rsid w:val="0004637E"/>
    <w:rsid w:val="0004717F"/>
    <w:rsid w:val="00047AE6"/>
    <w:rsid w:val="00050E36"/>
    <w:rsid w:val="00050EC9"/>
    <w:rsid w:val="0005122E"/>
    <w:rsid w:val="0005150C"/>
    <w:rsid w:val="00052519"/>
    <w:rsid w:val="0005312D"/>
    <w:rsid w:val="00053C25"/>
    <w:rsid w:val="00054D2D"/>
    <w:rsid w:val="00055B3D"/>
    <w:rsid w:val="00055C5F"/>
    <w:rsid w:val="00056148"/>
    <w:rsid w:val="000563B6"/>
    <w:rsid w:val="00056877"/>
    <w:rsid w:val="00056B2E"/>
    <w:rsid w:val="00060D0C"/>
    <w:rsid w:val="00061301"/>
    <w:rsid w:val="00061C59"/>
    <w:rsid w:val="000623FE"/>
    <w:rsid w:val="000624B3"/>
    <w:rsid w:val="00062D7C"/>
    <w:rsid w:val="000636FA"/>
    <w:rsid w:val="00063DEC"/>
    <w:rsid w:val="00064095"/>
    <w:rsid w:val="000645D4"/>
    <w:rsid w:val="000649F6"/>
    <w:rsid w:val="00064DE4"/>
    <w:rsid w:val="000660B5"/>
    <w:rsid w:val="00066A50"/>
    <w:rsid w:val="00066BB0"/>
    <w:rsid w:val="00066C09"/>
    <w:rsid w:val="00066E7E"/>
    <w:rsid w:val="0006794B"/>
    <w:rsid w:val="000701D5"/>
    <w:rsid w:val="00070B31"/>
    <w:rsid w:val="00070C30"/>
    <w:rsid w:val="00072303"/>
    <w:rsid w:val="0007267C"/>
    <w:rsid w:val="0007356D"/>
    <w:rsid w:val="00074DEA"/>
    <w:rsid w:val="000752E3"/>
    <w:rsid w:val="0007604F"/>
    <w:rsid w:val="000763FF"/>
    <w:rsid w:val="00076D54"/>
    <w:rsid w:val="000772D2"/>
    <w:rsid w:val="000818C3"/>
    <w:rsid w:val="00081DEC"/>
    <w:rsid w:val="0008231C"/>
    <w:rsid w:val="00082A85"/>
    <w:rsid w:val="00082DAB"/>
    <w:rsid w:val="000836A4"/>
    <w:rsid w:val="000845A7"/>
    <w:rsid w:val="00085F8E"/>
    <w:rsid w:val="0008713F"/>
    <w:rsid w:val="00087D5A"/>
    <w:rsid w:val="00091220"/>
    <w:rsid w:val="00091C80"/>
    <w:rsid w:val="00091F1A"/>
    <w:rsid w:val="00094AB9"/>
    <w:rsid w:val="0009532A"/>
    <w:rsid w:val="00096FAB"/>
    <w:rsid w:val="0009737B"/>
    <w:rsid w:val="000A0B82"/>
    <w:rsid w:val="000A2383"/>
    <w:rsid w:val="000A2394"/>
    <w:rsid w:val="000A2B27"/>
    <w:rsid w:val="000A3AFE"/>
    <w:rsid w:val="000A4C73"/>
    <w:rsid w:val="000A4FD2"/>
    <w:rsid w:val="000B0E55"/>
    <w:rsid w:val="000B106E"/>
    <w:rsid w:val="000B2917"/>
    <w:rsid w:val="000B324B"/>
    <w:rsid w:val="000B4CB4"/>
    <w:rsid w:val="000B4CE3"/>
    <w:rsid w:val="000B5A62"/>
    <w:rsid w:val="000B60B6"/>
    <w:rsid w:val="000B74E4"/>
    <w:rsid w:val="000B7798"/>
    <w:rsid w:val="000B79EF"/>
    <w:rsid w:val="000B7A18"/>
    <w:rsid w:val="000B7BC0"/>
    <w:rsid w:val="000C1E97"/>
    <w:rsid w:val="000C248C"/>
    <w:rsid w:val="000C391B"/>
    <w:rsid w:val="000C5508"/>
    <w:rsid w:val="000C56B9"/>
    <w:rsid w:val="000C59C7"/>
    <w:rsid w:val="000C749F"/>
    <w:rsid w:val="000D00DC"/>
    <w:rsid w:val="000D0C08"/>
    <w:rsid w:val="000D0C4C"/>
    <w:rsid w:val="000D4B3C"/>
    <w:rsid w:val="000D5E3F"/>
    <w:rsid w:val="000D6400"/>
    <w:rsid w:val="000D7D3D"/>
    <w:rsid w:val="000E0618"/>
    <w:rsid w:val="000E13F2"/>
    <w:rsid w:val="000E26BD"/>
    <w:rsid w:val="000E3D97"/>
    <w:rsid w:val="000E408D"/>
    <w:rsid w:val="000E4E38"/>
    <w:rsid w:val="000E65C7"/>
    <w:rsid w:val="000E6B00"/>
    <w:rsid w:val="000E7E2D"/>
    <w:rsid w:val="000F0E3D"/>
    <w:rsid w:val="000F15E2"/>
    <w:rsid w:val="000F1A2B"/>
    <w:rsid w:val="000F1D3F"/>
    <w:rsid w:val="000F2366"/>
    <w:rsid w:val="000F2A79"/>
    <w:rsid w:val="000F3085"/>
    <w:rsid w:val="000F30EC"/>
    <w:rsid w:val="000F34D8"/>
    <w:rsid w:val="000F369B"/>
    <w:rsid w:val="000F45A6"/>
    <w:rsid w:val="000F4854"/>
    <w:rsid w:val="000F541B"/>
    <w:rsid w:val="000F546B"/>
    <w:rsid w:val="000F6746"/>
    <w:rsid w:val="000F6C5E"/>
    <w:rsid w:val="000F7051"/>
    <w:rsid w:val="000F7336"/>
    <w:rsid w:val="0010139D"/>
    <w:rsid w:val="00102AC3"/>
    <w:rsid w:val="00105193"/>
    <w:rsid w:val="0010554E"/>
    <w:rsid w:val="0010601B"/>
    <w:rsid w:val="00106189"/>
    <w:rsid w:val="001063B6"/>
    <w:rsid w:val="001066D1"/>
    <w:rsid w:val="00107BB4"/>
    <w:rsid w:val="00107CFD"/>
    <w:rsid w:val="00110141"/>
    <w:rsid w:val="001114E7"/>
    <w:rsid w:val="0011218B"/>
    <w:rsid w:val="0011432E"/>
    <w:rsid w:val="001157D5"/>
    <w:rsid w:val="00117221"/>
    <w:rsid w:val="001209B3"/>
    <w:rsid w:val="00120AB5"/>
    <w:rsid w:val="00121952"/>
    <w:rsid w:val="00121D4E"/>
    <w:rsid w:val="00122790"/>
    <w:rsid w:val="0012287B"/>
    <w:rsid w:val="00122884"/>
    <w:rsid w:val="00122B14"/>
    <w:rsid w:val="00122D12"/>
    <w:rsid w:val="0012393F"/>
    <w:rsid w:val="00123A39"/>
    <w:rsid w:val="0012425D"/>
    <w:rsid w:val="00124277"/>
    <w:rsid w:val="001303B1"/>
    <w:rsid w:val="0013160D"/>
    <w:rsid w:val="00133EA0"/>
    <w:rsid w:val="00134487"/>
    <w:rsid w:val="00134A2E"/>
    <w:rsid w:val="00135D05"/>
    <w:rsid w:val="00135EE7"/>
    <w:rsid w:val="00136168"/>
    <w:rsid w:val="00136AE9"/>
    <w:rsid w:val="00136FBD"/>
    <w:rsid w:val="00137EB4"/>
    <w:rsid w:val="00141B2A"/>
    <w:rsid w:val="00141DBD"/>
    <w:rsid w:val="00141DE6"/>
    <w:rsid w:val="00143312"/>
    <w:rsid w:val="00143365"/>
    <w:rsid w:val="001447D9"/>
    <w:rsid w:val="00146ED7"/>
    <w:rsid w:val="001473A3"/>
    <w:rsid w:val="001514D8"/>
    <w:rsid w:val="001534FA"/>
    <w:rsid w:val="00153545"/>
    <w:rsid w:val="0015358B"/>
    <w:rsid w:val="0015396C"/>
    <w:rsid w:val="001553A9"/>
    <w:rsid w:val="001556C2"/>
    <w:rsid w:val="001565AA"/>
    <w:rsid w:val="00156BA8"/>
    <w:rsid w:val="00157084"/>
    <w:rsid w:val="00157BF7"/>
    <w:rsid w:val="00160C18"/>
    <w:rsid w:val="0016199E"/>
    <w:rsid w:val="00161F3F"/>
    <w:rsid w:val="001628CE"/>
    <w:rsid w:val="001629D1"/>
    <w:rsid w:val="00162B8C"/>
    <w:rsid w:val="00163139"/>
    <w:rsid w:val="00163A92"/>
    <w:rsid w:val="001641E8"/>
    <w:rsid w:val="00164C28"/>
    <w:rsid w:val="001651B4"/>
    <w:rsid w:val="0016631A"/>
    <w:rsid w:val="001673EF"/>
    <w:rsid w:val="0016743E"/>
    <w:rsid w:val="00167A32"/>
    <w:rsid w:val="00167C8F"/>
    <w:rsid w:val="00170BA5"/>
    <w:rsid w:val="0017173F"/>
    <w:rsid w:val="00171C09"/>
    <w:rsid w:val="001734FC"/>
    <w:rsid w:val="00173F4F"/>
    <w:rsid w:val="00174BC5"/>
    <w:rsid w:val="00174D6C"/>
    <w:rsid w:val="001764D3"/>
    <w:rsid w:val="00176D24"/>
    <w:rsid w:val="0017764F"/>
    <w:rsid w:val="00177973"/>
    <w:rsid w:val="00180D91"/>
    <w:rsid w:val="00181E5C"/>
    <w:rsid w:val="00181E6C"/>
    <w:rsid w:val="00181F2E"/>
    <w:rsid w:val="00182375"/>
    <w:rsid w:val="001829D0"/>
    <w:rsid w:val="0018552B"/>
    <w:rsid w:val="0018602B"/>
    <w:rsid w:val="00186701"/>
    <w:rsid w:val="001879DC"/>
    <w:rsid w:val="001903BF"/>
    <w:rsid w:val="00190BFB"/>
    <w:rsid w:val="00190FB6"/>
    <w:rsid w:val="00191C55"/>
    <w:rsid w:val="00192AEB"/>
    <w:rsid w:val="00197727"/>
    <w:rsid w:val="001A1988"/>
    <w:rsid w:val="001A2E5B"/>
    <w:rsid w:val="001A475C"/>
    <w:rsid w:val="001A5C9F"/>
    <w:rsid w:val="001A5FF3"/>
    <w:rsid w:val="001A724C"/>
    <w:rsid w:val="001A74C3"/>
    <w:rsid w:val="001A7B32"/>
    <w:rsid w:val="001A7C28"/>
    <w:rsid w:val="001B01FD"/>
    <w:rsid w:val="001B117F"/>
    <w:rsid w:val="001B2116"/>
    <w:rsid w:val="001B33A6"/>
    <w:rsid w:val="001B4B02"/>
    <w:rsid w:val="001B4FE2"/>
    <w:rsid w:val="001B5470"/>
    <w:rsid w:val="001B54B0"/>
    <w:rsid w:val="001B5E1C"/>
    <w:rsid w:val="001B6C0F"/>
    <w:rsid w:val="001B7BF1"/>
    <w:rsid w:val="001C00C9"/>
    <w:rsid w:val="001C0154"/>
    <w:rsid w:val="001C04B1"/>
    <w:rsid w:val="001C071D"/>
    <w:rsid w:val="001C20C2"/>
    <w:rsid w:val="001C2E30"/>
    <w:rsid w:val="001C3426"/>
    <w:rsid w:val="001C5124"/>
    <w:rsid w:val="001C5E97"/>
    <w:rsid w:val="001C72B8"/>
    <w:rsid w:val="001C72FC"/>
    <w:rsid w:val="001C7979"/>
    <w:rsid w:val="001D0245"/>
    <w:rsid w:val="001D02C1"/>
    <w:rsid w:val="001D0714"/>
    <w:rsid w:val="001D0EC4"/>
    <w:rsid w:val="001D233F"/>
    <w:rsid w:val="001D2EE5"/>
    <w:rsid w:val="001D40B9"/>
    <w:rsid w:val="001D56E6"/>
    <w:rsid w:val="001D570D"/>
    <w:rsid w:val="001D57C0"/>
    <w:rsid w:val="001E00B6"/>
    <w:rsid w:val="001E0E78"/>
    <w:rsid w:val="001E1045"/>
    <w:rsid w:val="001E2505"/>
    <w:rsid w:val="001E3CA9"/>
    <w:rsid w:val="001E3CDC"/>
    <w:rsid w:val="001E40C1"/>
    <w:rsid w:val="001E4EC1"/>
    <w:rsid w:val="001F10D9"/>
    <w:rsid w:val="001F130D"/>
    <w:rsid w:val="001F25E0"/>
    <w:rsid w:val="001F2807"/>
    <w:rsid w:val="001F2B71"/>
    <w:rsid w:val="001F2EAD"/>
    <w:rsid w:val="001F33DF"/>
    <w:rsid w:val="001F45E5"/>
    <w:rsid w:val="001F683B"/>
    <w:rsid w:val="001F7510"/>
    <w:rsid w:val="001F7CE0"/>
    <w:rsid w:val="002005AC"/>
    <w:rsid w:val="002006EA"/>
    <w:rsid w:val="00202BF6"/>
    <w:rsid w:val="00203A70"/>
    <w:rsid w:val="00203A95"/>
    <w:rsid w:val="00203D25"/>
    <w:rsid w:val="002041FA"/>
    <w:rsid w:val="00204A6F"/>
    <w:rsid w:val="00204F2D"/>
    <w:rsid w:val="00206147"/>
    <w:rsid w:val="00206BA5"/>
    <w:rsid w:val="00207EBE"/>
    <w:rsid w:val="00210197"/>
    <w:rsid w:val="0021031B"/>
    <w:rsid w:val="00210557"/>
    <w:rsid w:val="002114DC"/>
    <w:rsid w:val="00212FE6"/>
    <w:rsid w:val="002147AB"/>
    <w:rsid w:val="00214B43"/>
    <w:rsid w:val="00214F41"/>
    <w:rsid w:val="002158EE"/>
    <w:rsid w:val="00216819"/>
    <w:rsid w:val="002172E6"/>
    <w:rsid w:val="00217F2A"/>
    <w:rsid w:val="00221636"/>
    <w:rsid w:val="00221FE1"/>
    <w:rsid w:val="002243DF"/>
    <w:rsid w:val="00224743"/>
    <w:rsid w:val="0022669A"/>
    <w:rsid w:val="00227EBB"/>
    <w:rsid w:val="00230444"/>
    <w:rsid w:val="002310B6"/>
    <w:rsid w:val="00232B77"/>
    <w:rsid w:val="00232DE2"/>
    <w:rsid w:val="002332A4"/>
    <w:rsid w:val="00233A09"/>
    <w:rsid w:val="00233FBD"/>
    <w:rsid w:val="002349A0"/>
    <w:rsid w:val="00234C4F"/>
    <w:rsid w:val="00235D62"/>
    <w:rsid w:val="00236764"/>
    <w:rsid w:val="00236A84"/>
    <w:rsid w:val="00236BB8"/>
    <w:rsid w:val="00237CD1"/>
    <w:rsid w:val="002400F0"/>
    <w:rsid w:val="00240D0A"/>
    <w:rsid w:val="00241CD4"/>
    <w:rsid w:val="0024226C"/>
    <w:rsid w:val="00242632"/>
    <w:rsid w:val="00245516"/>
    <w:rsid w:val="002466F2"/>
    <w:rsid w:val="002467AE"/>
    <w:rsid w:val="00246999"/>
    <w:rsid w:val="00246F1B"/>
    <w:rsid w:val="00247698"/>
    <w:rsid w:val="002478C7"/>
    <w:rsid w:val="00247C0D"/>
    <w:rsid w:val="00252BF7"/>
    <w:rsid w:val="00254419"/>
    <w:rsid w:val="0025492A"/>
    <w:rsid w:val="00256FC6"/>
    <w:rsid w:val="0025799C"/>
    <w:rsid w:val="00260A18"/>
    <w:rsid w:val="00261AF8"/>
    <w:rsid w:val="00263AC2"/>
    <w:rsid w:val="00264DAB"/>
    <w:rsid w:val="00266D0D"/>
    <w:rsid w:val="00267186"/>
    <w:rsid w:val="00267CDD"/>
    <w:rsid w:val="00267EB1"/>
    <w:rsid w:val="00271496"/>
    <w:rsid w:val="00271B97"/>
    <w:rsid w:val="00271D64"/>
    <w:rsid w:val="0027454E"/>
    <w:rsid w:val="00274868"/>
    <w:rsid w:val="00274A0A"/>
    <w:rsid w:val="00274DA0"/>
    <w:rsid w:val="00275830"/>
    <w:rsid w:val="00276015"/>
    <w:rsid w:val="0027679A"/>
    <w:rsid w:val="00276C4F"/>
    <w:rsid w:val="00276CE0"/>
    <w:rsid w:val="00277E0A"/>
    <w:rsid w:val="002807CF"/>
    <w:rsid w:val="0028110F"/>
    <w:rsid w:val="002818A1"/>
    <w:rsid w:val="002825F8"/>
    <w:rsid w:val="00282645"/>
    <w:rsid w:val="00283042"/>
    <w:rsid w:val="002838DE"/>
    <w:rsid w:val="00284896"/>
    <w:rsid w:val="00284CF7"/>
    <w:rsid w:val="00285406"/>
    <w:rsid w:val="0028578C"/>
    <w:rsid w:val="002861AA"/>
    <w:rsid w:val="002864F4"/>
    <w:rsid w:val="002866D8"/>
    <w:rsid w:val="002901F4"/>
    <w:rsid w:val="00290515"/>
    <w:rsid w:val="00290F5E"/>
    <w:rsid w:val="0029211B"/>
    <w:rsid w:val="00292143"/>
    <w:rsid w:val="00292BC2"/>
    <w:rsid w:val="00292DDE"/>
    <w:rsid w:val="00294A7C"/>
    <w:rsid w:val="002955EC"/>
    <w:rsid w:val="00297DC2"/>
    <w:rsid w:val="00297F37"/>
    <w:rsid w:val="002A14FF"/>
    <w:rsid w:val="002A2766"/>
    <w:rsid w:val="002A3743"/>
    <w:rsid w:val="002A3750"/>
    <w:rsid w:val="002A39F7"/>
    <w:rsid w:val="002A3C07"/>
    <w:rsid w:val="002A499B"/>
    <w:rsid w:val="002A59C7"/>
    <w:rsid w:val="002A5FA1"/>
    <w:rsid w:val="002A6D9F"/>
    <w:rsid w:val="002A6EFF"/>
    <w:rsid w:val="002A77F3"/>
    <w:rsid w:val="002B0243"/>
    <w:rsid w:val="002B0632"/>
    <w:rsid w:val="002B172E"/>
    <w:rsid w:val="002B2677"/>
    <w:rsid w:val="002B2F62"/>
    <w:rsid w:val="002B35BC"/>
    <w:rsid w:val="002B39C3"/>
    <w:rsid w:val="002B3FB9"/>
    <w:rsid w:val="002B5945"/>
    <w:rsid w:val="002B6BA0"/>
    <w:rsid w:val="002B7BDE"/>
    <w:rsid w:val="002C0372"/>
    <w:rsid w:val="002C0E31"/>
    <w:rsid w:val="002C189B"/>
    <w:rsid w:val="002C250D"/>
    <w:rsid w:val="002C2FD0"/>
    <w:rsid w:val="002C39BA"/>
    <w:rsid w:val="002C457B"/>
    <w:rsid w:val="002C50BE"/>
    <w:rsid w:val="002C5141"/>
    <w:rsid w:val="002C584E"/>
    <w:rsid w:val="002C6340"/>
    <w:rsid w:val="002D042C"/>
    <w:rsid w:val="002D126E"/>
    <w:rsid w:val="002D1683"/>
    <w:rsid w:val="002D2775"/>
    <w:rsid w:val="002D2B06"/>
    <w:rsid w:val="002D2BB4"/>
    <w:rsid w:val="002D2C3A"/>
    <w:rsid w:val="002D3C12"/>
    <w:rsid w:val="002D4290"/>
    <w:rsid w:val="002D4391"/>
    <w:rsid w:val="002D45E1"/>
    <w:rsid w:val="002D484B"/>
    <w:rsid w:val="002D4D88"/>
    <w:rsid w:val="002D5069"/>
    <w:rsid w:val="002D5ACA"/>
    <w:rsid w:val="002D5DC9"/>
    <w:rsid w:val="002D6572"/>
    <w:rsid w:val="002D7581"/>
    <w:rsid w:val="002D758F"/>
    <w:rsid w:val="002D7728"/>
    <w:rsid w:val="002D7C22"/>
    <w:rsid w:val="002E0FAB"/>
    <w:rsid w:val="002E11A6"/>
    <w:rsid w:val="002E139E"/>
    <w:rsid w:val="002E1D97"/>
    <w:rsid w:val="002E2243"/>
    <w:rsid w:val="002E2476"/>
    <w:rsid w:val="002E2726"/>
    <w:rsid w:val="002E2F4C"/>
    <w:rsid w:val="002E39A0"/>
    <w:rsid w:val="002E4159"/>
    <w:rsid w:val="002E4FEE"/>
    <w:rsid w:val="002E59E1"/>
    <w:rsid w:val="002E5C8A"/>
    <w:rsid w:val="002E6362"/>
    <w:rsid w:val="002E6F81"/>
    <w:rsid w:val="002E6FD4"/>
    <w:rsid w:val="002E7898"/>
    <w:rsid w:val="002F0079"/>
    <w:rsid w:val="002F00FD"/>
    <w:rsid w:val="002F0C74"/>
    <w:rsid w:val="002F0D77"/>
    <w:rsid w:val="002F0FDD"/>
    <w:rsid w:val="002F18F9"/>
    <w:rsid w:val="002F2AA9"/>
    <w:rsid w:val="002F4263"/>
    <w:rsid w:val="002F4355"/>
    <w:rsid w:val="002F610A"/>
    <w:rsid w:val="002F6452"/>
    <w:rsid w:val="002F6E35"/>
    <w:rsid w:val="002F7754"/>
    <w:rsid w:val="00300327"/>
    <w:rsid w:val="00300B2D"/>
    <w:rsid w:val="00300F3F"/>
    <w:rsid w:val="0030127D"/>
    <w:rsid w:val="0030474E"/>
    <w:rsid w:val="00304B45"/>
    <w:rsid w:val="00304D00"/>
    <w:rsid w:val="00305568"/>
    <w:rsid w:val="00305779"/>
    <w:rsid w:val="00305D7E"/>
    <w:rsid w:val="00307C1B"/>
    <w:rsid w:val="003107D5"/>
    <w:rsid w:val="00310839"/>
    <w:rsid w:val="003112C2"/>
    <w:rsid w:val="003119C0"/>
    <w:rsid w:val="003119F1"/>
    <w:rsid w:val="00311A78"/>
    <w:rsid w:val="00311A8C"/>
    <w:rsid w:val="00311DDF"/>
    <w:rsid w:val="00311ED4"/>
    <w:rsid w:val="003123DF"/>
    <w:rsid w:val="003138F3"/>
    <w:rsid w:val="003160F4"/>
    <w:rsid w:val="003178B2"/>
    <w:rsid w:val="00321984"/>
    <w:rsid w:val="003219F5"/>
    <w:rsid w:val="00321B3A"/>
    <w:rsid w:val="00322595"/>
    <w:rsid w:val="003225BB"/>
    <w:rsid w:val="00322808"/>
    <w:rsid w:val="003228A2"/>
    <w:rsid w:val="00322961"/>
    <w:rsid w:val="00322B0E"/>
    <w:rsid w:val="00323AEF"/>
    <w:rsid w:val="00323DF5"/>
    <w:rsid w:val="00323E63"/>
    <w:rsid w:val="00324C6F"/>
    <w:rsid w:val="00326131"/>
    <w:rsid w:val="00327C10"/>
    <w:rsid w:val="00327DEE"/>
    <w:rsid w:val="00327E87"/>
    <w:rsid w:val="003302C3"/>
    <w:rsid w:val="00330A1E"/>
    <w:rsid w:val="00330E52"/>
    <w:rsid w:val="0033312C"/>
    <w:rsid w:val="003332C1"/>
    <w:rsid w:val="003339E0"/>
    <w:rsid w:val="00335305"/>
    <w:rsid w:val="00335313"/>
    <w:rsid w:val="00336EB4"/>
    <w:rsid w:val="003377B0"/>
    <w:rsid w:val="00337A61"/>
    <w:rsid w:val="00337CD1"/>
    <w:rsid w:val="00337E8C"/>
    <w:rsid w:val="00340391"/>
    <w:rsid w:val="003407C5"/>
    <w:rsid w:val="003419F0"/>
    <w:rsid w:val="00344A21"/>
    <w:rsid w:val="00346479"/>
    <w:rsid w:val="00346A26"/>
    <w:rsid w:val="00347042"/>
    <w:rsid w:val="00347505"/>
    <w:rsid w:val="00347F99"/>
    <w:rsid w:val="00351420"/>
    <w:rsid w:val="003525E2"/>
    <w:rsid w:val="00352C67"/>
    <w:rsid w:val="00353435"/>
    <w:rsid w:val="00353CB1"/>
    <w:rsid w:val="00354B5D"/>
    <w:rsid w:val="00354EBD"/>
    <w:rsid w:val="003562E3"/>
    <w:rsid w:val="00357643"/>
    <w:rsid w:val="0036057E"/>
    <w:rsid w:val="0036089E"/>
    <w:rsid w:val="003608EA"/>
    <w:rsid w:val="00360D6F"/>
    <w:rsid w:val="00360E27"/>
    <w:rsid w:val="0036187F"/>
    <w:rsid w:val="00362842"/>
    <w:rsid w:val="003629B2"/>
    <w:rsid w:val="00362BB2"/>
    <w:rsid w:val="00362FDC"/>
    <w:rsid w:val="00363343"/>
    <w:rsid w:val="00363E76"/>
    <w:rsid w:val="0036514D"/>
    <w:rsid w:val="00365D75"/>
    <w:rsid w:val="00367E04"/>
    <w:rsid w:val="00367E67"/>
    <w:rsid w:val="00371121"/>
    <w:rsid w:val="0037154E"/>
    <w:rsid w:val="0037254D"/>
    <w:rsid w:val="00373966"/>
    <w:rsid w:val="00374B8A"/>
    <w:rsid w:val="00374C4A"/>
    <w:rsid w:val="003752F5"/>
    <w:rsid w:val="00375904"/>
    <w:rsid w:val="00375CD4"/>
    <w:rsid w:val="00376D44"/>
    <w:rsid w:val="00377CC9"/>
    <w:rsid w:val="00377DEE"/>
    <w:rsid w:val="00377EA4"/>
    <w:rsid w:val="0038007B"/>
    <w:rsid w:val="00381550"/>
    <w:rsid w:val="00381567"/>
    <w:rsid w:val="003837A5"/>
    <w:rsid w:val="00383804"/>
    <w:rsid w:val="00383C2E"/>
    <w:rsid w:val="00383E61"/>
    <w:rsid w:val="0038400D"/>
    <w:rsid w:val="00384A74"/>
    <w:rsid w:val="003862D6"/>
    <w:rsid w:val="00386832"/>
    <w:rsid w:val="00390345"/>
    <w:rsid w:val="00392B14"/>
    <w:rsid w:val="003935C9"/>
    <w:rsid w:val="00393613"/>
    <w:rsid w:val="0039446B"/>
    <w:rsid w:val="003963CF"/>
    <w:rsid w:val="00396844"/>
    <w:rsid w:val="00397548"/>
    <w:rsid w:val="00397A38"/>
    <w:rsid w:val="003A0A06"/>
    <w:rsid w:val="003A2F4F"/>
    <w:rsid w:val="003A3454"/>
    <w:rsid w:val="003A3958"/>
    <w:rsid w:val="003A4038"/>
    <w:rsid w:val="003A445A"/>
    <w:rsid w:val="003A5210"/>
    <w:rsid w:val="003A5ADC"/>
    <w:rsid w:val="003A6544"/>
    <w:rsid w:val="003A67BB"/>
    <w:rsid w:val="003B0360"/>
    <w:rsid w:val="003B0997"/>
    <w:rsid w:val="003B0A52"/>
    <w:rsid w:val="003B0CE1"/>
    <w:rsid w:val="003B0D40"/>
    <w:rsid w:val="003B0E67"/>
    <w:rsid w:val="003B219F"/>
    <w:rsid w:val="003B23E2"/>
    <w:rsid w:val="003B4BCF"/>
    <w:rsid w:val="003B4D2D"/>
    <w:rsid w:val="003B65A3"/>
    <w:rsid w:val="003B6A33"/>
    <w:rsid w:val="003B7096"/>
    <w:rsid w:val="003C00A5"/>
    <w:rsid w:val="003C212A"/>
    <w:rsid w:val="003C3192"/>
    <w:rsid w:val="003C36A3"/>
    <w:rsid w:val="003C37C1"/>
    <w:rsid w:val="003C4C65"/>
    <w:rsid w:val="003C524E"/>
    <w:rsid w:val="003C5502"/>
    <w:rsid w:val="003C5944"/>
    <w:rsid w:val="003C688A"/>
    <w:rsid w:val="003C6CDB"/>
    <w:rsid w:val="003C7DD6"/>
    <w:rsid w:val="003D0913"/>
    <w:rsid w:val="003D0A11"/>
    <w:rsid w:val="003D0C6B"/>
    <w:rsid w:val="003D10E1"/>
    <w:rsid w:val="003D1D52"/>
    <w:rsid w:val="003D3318"/>
    <w:rsid w:val="003D4EBB"/>
    <w:rsid w:val="003D5406"/>
    <w:rsid w:val="003E05C6"/>
    <w:rsid w:val="003E0756"/>
    <w:rsid w:val="003E0CBE"/>
    <w:rsid w:val="003E0D10"/>
    <w:rsid w:val="003E145A"/>
    <w:rsid w:val="003E14E2"/>
    <w:rsid w:val="003E2167"/>
    <w:rsid w:val="003E3402"/>
    <w:rsid w:val="003E3ADC"/>
    <w:rsid w:val="003E47A8"/>
    <w:rsid w:val="003E47D5"/>
    <w:rsid w:val="003E4E87"/>
    <w:rsid w:val="003E5A27"/>
    <w:rsid w:val="003E6530"/>
    <w:rsid w:val="003F0094"/>
    <w:rsid w:val="003F050F"/>
    <w:rsid w:val="003F11E4"/>
    <w:rsid w:val="003F19B5"/>
    <w:rsid w:val="003F1CE2"/>
    <w:rsid w:val="003F2411"/>
    <w:rsid w:val="003F29CD"/>
    <w:rsid w:val="003F2D9A"/>
    <w:rsid w:val="003F317E"/>
    <w:rsid w:val="003F4B01"/>
    <w:rsid w:val="003F5B01"/>
    <w:rsid w:val="003F5C94"/>
    <w:rsid w:val="003F7E38"/>
    <w:rsid w:val="003F7E6A"/>
    <w:rsid w:val="003F7F13"/>
    <w:rsid w:val="00401822"/>
    <w:rsid w:val="004022AE"/>
    <w:rsid w:val="0040378D"/>
    <w:rsid w:val="00403F04"/>
    <w:rsid w:val="00404017"/>
    <w:rsid w:val="004041FC"/>
    <w:rsid w:val="00404702"/>
    <w:rsid w:val="00404757"/>
    <w:rsid w:val="00405043"/>
    <w:rsid w:val="004056B6"/>
    <w:rsid w:val="00405CCD"/>
    <w:rsid w:val="004062DD"/>
    <w:rsid w:val="00406A95"/>
    <w:rsid w:val="00407D92"/>
    <w:rsid w:val="00407E89"/>
    <w:rsid w:val="00407F64"/>
    <w:rsid w:val="00410B54"/>
    <w:rsid w:val="00410D40"/>
    <w:rsid w:val="00411144"/>
    <w:rsid w:val="004113B7"/>
    <w:rsid w:val="004132B2"/>
    <w:rsid w:val="00413463"/>
    <w:rsid w:val="004134BC"/>
    <w:rsid w:val="00413C62"/>
    <w:rsid w:val="00414BC1"/>
    <w:rsid w:val="00415261"/>
    <w:rsid w:val="00415571"/>
    <w:rsid w:val="004158AD"/>
    <w:rsid w:val="00416127"/>
    <w:rsid w:val="004176B2"/>
    <w:rsid w:val="004203BB"/>
    <w:rsid w:val="00420403"/>
    <w:rsid w:val="0042063F"/>
    <w:rsid w:val="00421409"/>
    <w:rsid w:val="00421510"/>
    <w:rsid w:val="004234FA"/>
    <w:rsid w:val="00423A19"/>
    <w:rsid w:val="00423DB8"/>
    <w:rsid w:val="0042526D"/>
    <w:rsid w:val="00425318"/>
    <w:rsid w:val="0042615A"/>
    <w:rsid w:val="0042680E"/>
    <w:rsid w:val="0043038D"/>
    <w:rsid w:val="00430798"/>
    <w:rsid w:val="00430A18"/>
    <w:rsid w:val="0043141C"/>
    <w:rsid w:val="00433793"/>
    <w:rsid w:val="00434370"/>
    <w:rsid w:val="004344C7"/>
    <w:rsid w:val="00434627"/>
    <w:rsid w:val="0043474C"/>
    <w:rsid w:val="00434C75"/>
    <w:rsid w:val="00435C6D"/>
    <w:rsid w:val="004404DF"/>
    <w:rsid w:val="00441F5E"/>
    <w:rsid w:val="00442658"/>
    <w:rsid w:val="00442DDC"/>
    <w:rsid w:val="00443908"/>
    <w:rsid w:val="00443A0C"/>
    <w:rsid w:val="00445906"/>
    <w:rsid w:val="0044728A"/>
    <w:rsid w:val="0044782F"/>
    <w:rsid w:val="004504E3"/>
    <w:rsid w:val="00450747"/>
    <w:rsid w:val="00451711"/>
    <w:rsid w:val="00451D1A"/>
    <w:rsid w:val="00451F0D"/>
    <w:rsid w:val="00452038"/>
    <w:rsid w:val="0045223D"/>
    <w:rsid w:val="0045224A"/>
    <w:rsid w:val="00452572"/>
    <w:rsid w:val="00452A8B"/>
    <w:rsid w:val="00453189"/>
    <w:rsid w:val="00454C92"/>
    <w:rsid w:val="004571A6"/>
    <w:rsid w:val="004577FD"/>
    <w:rsid w:val="00457EDA"/>
    <w:rsid w:val="00462B93"/>
    <w:rsid w:val="00464DB1"/>
    <w:rsid w:val="00464FAB"/>
    <w:rsid w:val="00466627"/>
    <w:rsid w:val="00466B5F"/>
    <w:rsid w:val="00467CC7"/>
    <w:rsid w:val="0047043F"/>
    <w:rsid w:val="00470C04"/>
    <w:rsid w:val="00470CA4"/>
    <w:rsid w:val="00472832"/>
    <w:rsid w:val="004747B9"/>
    <w:rsid w:val="00474D4E"/>
    <w:rsid w:val="0047754A"/>
    <w:rsid w:val="004808D9"/>
    <w:rsid w:val="004820B5"/>
    <w:rsid w:val="0048270C"/>
    <w:rsid w:val="00483819"/>
    <w:rsid w:val="004854B8"/>
    <w:rsid w:val="004857FC"/>
    <w:rsid w:val="004859E9"/>
    <w:rsid w:val="00487751"/>
    <w:rsid w:val="00487B61"/>
    <w:rsid w:val="00490595"/>
    <w:rsid w:val="0049084E"/>
    <w:rsid w:val="00490A66"/>
    <w:rsid w:val="004914AF"/>
    <w:rsid w:val="0049153E"/>
    <w:rsid w:val="004918C3"/>
    <w:rsid w:val="00491CDD"/>
    <w:rsid w:val="00492651"/>
    <w:rsid w:val="00492824"/>
    <w:rsid w:val="0049377F"/>
    <w:rsid w:val="00493B7F"/>
    <w:rsid w:val="00493C4D"/>
    <w:rsid w:val="00494801"/>
    <w:rsid w:val="00494E6F"/>
    <w:rsid w:val="00496261"/>
    <w:rsid w:val="0049646F"/>
    <w:rsid w:val="00496AFA"/>
    <w:rsid w:val="00496D32"/>
    <w:rsid w:val="004A013B"/>
    <w:rsid w:val="004A100C"/>
    <w:rsid w:val="004A157D"/>
    <w:rsid w:val="004A22CF"/>
    <w:rsid w:val="004A2643"/>
    <w:rsid w:val="004A3041"/>
    <w:rsid w:val="004A4F8A"/>
    <w:rsid w:val="004A5C7D"/>
    <w:rsid w:val="004A5DB0"/>
    <w:rsid w:val="004A635D"/>
    <w:rsid w:val="004A6B14"/>
    <w:rsid w:val="004A71B0"/>
    <w:rsid w:val="004A7E44"/>
    <w:rsid w:val="004B0671"/>
    <w:rsid w:val="004B109E"/>
    <w:rsid w:val="004B15A2"/>
    <w:rsid w:val="004B18BE"/>
    <w:rsid w:val="004B2119"/>
    <w:rsid w:val="004B390F"/>
    <w:rsid w:val="004B47C2"/>
    <w:rsid w:val="004B51C3"/>
    <w:rsid w:val="004B5A46"/>
    <w:rsid w:val="004B6825"/>
    <w:rsid w:val="004C12B5"/>
    <w:rsid w:val="004C1E40"/>
    <w:rsid w:val="004C31FD"/>
    <w:rsid w:val="004C39AF"/>
    <w:rsid w:val="004C4777"/>
    <w:rsid w:val="004C5DE7"/>
    <w:rsid w:val="004C68AB"/>
    <w:rsid w:val="004C70A3"/>
    <w:rsid w:val="004C7EF2"/>
    <w:rsid w:val="004D0B6F"/>
    <w:rsid w:val="004D0BEE"/>
    <w:rsid w:val="004D186E"/>
    <w:rsid w:val="004D25AC"/>
    <w:rsid w:val="004D2AA3"/>
    <w:rsid w:val="004D438E"/>
    <w:rsid w:val="004D4E43"/>
    <w:rsid w:val="004D5475"/>
    <w:rsid w:val="004D552B"/>
    <w:rsid w:val="004D5AFB"/>
    <w:rsid w:val="004D5EDD"/>
    <w:rsid w:val="004D65FE"/>
    <w:rsid w:val="004D678B"/>
    <w:rsid w:val="004D6796"/>
    <w:rsid w:val="004D7C4E"/>
    <w:rsid w:val="004D7EFC"/>
    <w:rsid w:val="004E02F8"/>
    <w:rsid w:val="004E04A2"/>
    <w:rsid w:val="004E0ED3"/>
    <w:rsid w:val="004E0FC2"/>
    <w:rsid w:val="004E1080"/>
    <w:rsid w:val="004E23A5"/>
    <w:rsid w:val="004E2958"/>
    <w:rsid w:val="004E2C1D"/>
    <w:rsid w:val="004E3D5D"/>
    <w:rsid w:val="004E4AE9"/>
    <w:rsid w:val="004E6AC7"/>
    <w:rsid w:val="004F0ED6"/>
    <w:rsid w:val="004F116C"/>
    <w:rsid w:val="004F1C70"/>
    <w:rsid w:val="004F1EA7"/>
    <w:rsid w:val="004F275D"/>
    <w:rsid w:val="004F3E17"/>
    <w:rsid w:val="004F41F4"/>
    <w:rsid w:val="004F4500"/>
    <w:rsid w:val="004F46E1"/>
    <w:rsid w:val="004F4786"/>
    <w:rsid w:val="004F49C2"/>
    <w:rsid w:val="004F640C"/>
    <w:rsid w:val="004F6A93"/>
    <w:rsid w:val="004F6FAD"/>
    <w:rsid w:val="004F7DAB"/>
    <w:rsid w:val="004F7E58"/>
    <w:rsid w:val="00500C2A"/>
    <w:rsid w:val="00500CBD"/>
    <w:rsid w:val="005016FE"/>
    <w:rsid w:val="00501725"/>
    <w:rsid w:val="005022E0"/>
    <w:rsid w:val="00502530"/>
    <w:rsid w:val="00502787"/>
    <w:rsid w:val="00502F3E"/>
    <w:rsid w:val="005030B1"/>
    <w:rsid w:val="00506713"/>
    <w:rsid w:val="00506F76"/>
    <w:rsid w:val="00507A1D"/>
    <w:rsid w:val="00507A72"/>
    <w:rsid w:val="00507AA6"/>
    <w:rsid w:val="00510325"/>
    <w:rsid w:val="00510403"/>
    <w:rsid w:val="00511757"/>
    <w:rsid w:val="00513F53"/>
    <w:rsid w:val="00514972"/>
    <w:rsid w:val="00516A16"/>
    <w:rsid w:val="00517827"/>
    <w:rsid w:val="00517E57"/>
    <w:rsid w:val="00521DD3"/>
    <w:rsid w:val="00522854"/>
    <w:rsid w:val="0052392F"/>
    <w:rsid w:val="00523D33"/>
    <w:rsid w:val="00525015"/>
    <w:rsid w:val="005255B8"/>
    <w:rsid w:val="005255DF"/>
    <w:rsid w:val="00525BCF"/>
    <w:rsid w:val="00525E8A"/>
    <w:rsid w:val="00525F91"/>
    <w:rsid w:val="00526120"/>
    <w:rsid w:val="00527694"/>
    <w:rsid w:val="00527847"/>
    <w:rsid w:val="00527866"/>
    <w:rsid w:val="005308F3"/>
    <w:rsid w:val="00530DB7"/>
    <w:rsid w:val="00530ECC"/>
    <w:rsid w:val="00532A01"/>
    <w:rsid w:val="00532F35"/>
    <w:rsid w:val="005338DF"/>
    <w:rsid w:val="005344DE"/>
    <w:rsid w:val="0053506F"/>
    <w:rsid w:val="00535090"/>
    <w:rsid w:val="00535500"/>
    <w:rsid w:val="00535E2A"/>
    <w:rsid w:val="00537B6A"/>
    <w:rsid w:val="00540D71"/>
    <w:rsid w:val="005417CE"/>
    <w:rsid w:val="00541B2C"/>
    <w:rsid w:val="00542065"/>
    <w:rsid w:val="0054270F"/>
    <w:rsid w:val="00542B18"/>
    <w:rsid w:val="00543DFD"/>
    <w:rsid w:val="00544E33"/>
    <w:rsid w:val="0054501F"/>
    <w:rsid w:val="00545B6F"/>
    <w:rsid w:val="00547066"/>
    <w:rsid w:val="00547BA1"/>
    <w:rsid w:val="00547FDC"/>
    <w:rsid w:val="00550188"/>
    <w:rsid w:val="00550191"/>
    <w:rsid w:val="0055239C"/>
    <w:rsid w:val="00553263"/>
    <w:rsid w:val="005549A0"/>
    <w:rsid w:val="0055643D"/>
    <w:rsid w:val="00556790"/>
    <w:rsid w:val="00557051"/>
    <w:rsid w:val="00557884"/>
    <w:rsid w:val="00557D87"/>
    <w:rsid w:val="00557DB8"/>
    <w:rsid w:val="005602FA"/>
    <w:rsid w:val="00560CEC"/>
    <w:rsid w:val="0056156A"/>
    <w:rsid w:val="00562DA4"/>
    <w:rsid w:val="00564395"/>
    <w:rsid w:val="005644FA"/>
    <w:rsid w:val="0056527A"/>
    <w:rsid w:val="005657B9"/>
    <w:rsid w:val="00566087"/>
    <w:rsid w:val="00566433"/>
    <w:rsid w:val="00567098"/>
    <w:rsid w:val="00567AF6"/>
    <w:rsid w:val="00567D84"/>
    <w:rsid w:val="0057076E"/>
    <w:rsid w:val="005711E5"/>
    <w:rsid w:val="005715B2"/>
    <w:rsid w:val="00572570"/>
    <w:rsid w:val="00574412"/>
    <w:rsid w:val="00574B1C"/>
    <w:rsid w:val="0057582D"/>
    <w:rsid w:val="00575B39"/>
    <w:rsid w:val="005769D3"/>
    <w:rsid w:val="00577113"/>
    <w:rsid w:val="0057744D"/>
    <w:rsid w:val="00580ED5"/>
    <w:rsid w:val="0058162F"/>
    <w:rsid w:val="00581E47"/>
    <w:rsid w:val="005823C8"/>
    <w:rsid w:val="00583AE8"/>
    <w:rsid w:val="00584679"/>
    <w:rsid w:val="005851FB"/>
    <w:rsid w:val="0058609D"/>
    <w:rsid w:val="00587DA5"/>
    <w:rsid w:val="00590DD1"/>
    <w:rsid w:val="00591B55"/>
    <w:rsid w:val="00594B18"/>
    <w:rsid w:val="00594EE7"/>
    <w:rsid w:val="0059565D"/>
    <w:rsid w:val="005958A8"/>
    <w:rsid w:val="005959D3"/>
    <w:rsid w:val="00595AD3"/>
    <w:rsid w:val="00596A8F"/>
    <w:rsid w:val="00597957"/>
    <w:rsid w:val="00597B9F"/>
    <w:rsid w:val="00597FD7"/>
    <w:rsid w:val="005A0318"/>
    <w:rsid w:val="005A0805"/>
    <w:rsid w:val="005A097D"/>
    <w:rsid w:val="005A25B1"/>
    <w:rsid w:val="005A285A"/>
    <w:rsid w:val="005A2C7A"/>
    <w:rsid w:val="005A2E84"/>
    <w:rsid w:val="005A3796"/>
    <w:rsid w:val="005A39F3"/>
    <w:rsid w:val="005A3A8A"/>
    <w:rsid w:val="005A4F45"/>
    <w:rsid w:val="005A5535"/>
    <w:rsid w:val="005A7871"/>
    <w:rsid w:val="005B0701"/>
    <w:rsid w:val="005B16CA"/>
    <w:rsid w:val="005B1E1D"/>
    <w:rsid w:val="005B2AD6"/>
    <w:rsid w:val="005B364C"/>
    <w:rsid w:val="005B36AD"/>
    <w:rsid w:val="005B4677"/>
    <w:rsid w:val="005B4DF2"/>
    <w:rsid w:val="005B4E88"/>
    <w:rsid w:val="005B6AAE"/>
    <w:rsid w:val="005C0837"/>
    <w:rsid w:val="005C2883"/>
    <w:rsid w:val="005C5D1E"/>
    <w:rsid w:val="005C6B84"/>
    <w:rsid w:val="005D038D"/>
    <w:rsid w:val="005D04FE"/>
    <w:rsid w:val="005D0913"/>
    <w:rsid w:val="005D0DFC"/>
    <w:rsid w:val="005D0FAA"/>
    <w:rsid w:val="005D1283"/>
    <w:rsid w:val="005D13CC"/>
    <w:rsid w:val="005D160D"/>
    <w:rsid w:val="005D2717"/>
    <w:rsid w:val="005D3E22"/>
    <w:rsid w:val="005D4433"/>
    <w:rsid w:val="005D4953"/>
    <w:rsid w:val="005D56ED"/>
    <w:rsid w:val="005D6859"/>
    <w:rsid w:val="005D704E"/>
    <w:rsid w:val="005E3357"/>
    <w:rsid w:val="005E3657"/>
    <w:rsid w:val="005E4354"/>
    <w:rsid w:val="005E470E"/>
    <w:rsid w:val="005E66E4"/>
    <w:rsid w:val="005E6F53"/>
    <w:rsid w:val="005E74A9"/>
    <w:rsid w:val="005E75C4"/>
    <w:rsid w:val="005F0A3C"/>
    <w:rsid w:val="005F11A1"/>
    <w:rsid w:val="005F1BBE"/>
    <w:rsid w:val="005F1E9B"/>
    <w:rsid w:val="005F1EA5"/>
    <w:rsid w:val="005F265F"/>
    <w:rsid w:val="005F2B72"/>
    <w:rsid w:val="005F35C3"/>
    <w:rsid w:val="005F3A4A"/>
    <w:rsid w:val="005F47FF"/>
    <w:rsid w:val="005F5D43"/>
    <w:rsid w:val="005F6B34"/>
    <w:rsid w:val="005F6B7A"/>
    <w:rsid w:val="005F6C2F"/>
    <w:rsid w:val="005F70C1"/>
    <w:rsid w:val="005F7530"/>
    <w:rsid w:val="005F7549"/>
    <w:rsid w:val="006007B0"/>
    <w:rsid w:val="00601730"/>
    <w:rsid w:val="0060385A"/>
    <w:rsid w:val="00604950"/>
    <w:rsid w:val="00604E6D"/>
    <w:rsid w:val="006061FD"/>
    <w:rsid w:val="00606D39"/>
    <w:rsid w:val="0061212C"/>
    <w:rsid w:val="0061225D"/>
    <w:rsid w:val="006142C0"/>
    <w:rsid w:val="006144B8"/>
    <w:rsid w:val="00614548"/>
    <w:rsid w:val="00614561"/>
    <w:rsid w:val="00615203"/>
    <w:rsid w:val="0061733C"/>
    <w:rsid w:val="00617B78"/>
    <w:rsid w:val="00620B6A"/>
    <w:rsid w:val="006213BC"/>
    <w:rsid w:val="00622527"/>
    <w:rsid w:val="00622712"/>
    <w:rsid w:val="006228E1"/>
    <w:rsid w:val="006241B8"/>
    <w:rsid w:val="00626C01"/>
    <w:rsid w:val="00630457"/>
    <w:rsid w:val="00631701"/>
    <w:rsid w:val="00632564"/>
    <w:rsid w:val="0063292C"/>
    <w:rsid w:val="00633B10"/>
    <w:rsid w:val="00634ED5"/>
    <w:rsid w:val="00636DA8"/>
    <w:rsid w:val="00636EE2"/>
    <w:rsid w:val="00637376"/>
    <w:rsid w:val="006404CD"/>
    <w:rsid w:val="00640F2A"/>
    <w:rsid w:val="006411F3"/>
    <w:rsid w:val="00641D71"/>
    <w:rsid w:val="006420DF"/>
    <w:rsid w:val="00642374"/>
    <w:rsid w:val="006439A3"/>
    <w:rsid w:val="00644D9B"/>
    <w:rsid w:val="006457CE"/>
    <w:rsid w:val="00647130"/>
    <w:rsid w:val="00650BBE"/>
    <w:rsid w:val="006510F4"/>
    <w:rsid w:val="0065181B"/>
    <w:rsid w:val="00651AA0"/>
    <w:rsid w:val="00652B6F"/>
    <w:rsid w:val="006530EF"/>
    <w:rsid w:val="00653233"/>
    <w:rsid w:val="00653E55"/>
    <w:rsid w:val="0065476A"/>
    <w:rsid w:val="006549E8"/>
    <w:rsid w:val="00654BD4"/>
    <w:rsid w:val="00654F9D"/>
    <w:rsid w:val="00656962"/>
    <w:rsid w:val="00656CE5"/>
    <w:rsid w:val="0065776E"/>
    <w:rsid w:val="00660976"/>
    <w:rsid w:val="00662BCE"/>
    <w:rsid w:val="006637B2"/>
    <w:rsid w:val="006654FF"/>
    <w:rsid w:val="00665E15"/>
    <w:rsid w:val="00667724"/>
    <w:rsid w:val="00667785"/>
    <w:rsid w:val="00670D09"/>
    <w:rsid w:val="006711FC"/>
    <w:rsid w:val="00671231"/>
    <w:rsid w:val="00671FBD"/>
    <w:rsid w:val="00672385"/>
    <w:rsid w:val="00675C75"/>
    <w:rsid w:val="0067773E"/>
    <w:rsid w:val="00677ED9"/>
    <w:rsid w:val="006807EA"/>
    <w:rsid w:val="006814DC"/>
    <w:rsid w:val="006825BF"/>
    <w:rsid w:val="006826C9"/>
    <w:rsid w:val="006840B6"/>
    <w:rsid w:val="006853BB"/>
    <w:rsid w:val="00687483"/>
    <w:rsid w:val="00687927"/>
    <w:rsid w:val="006901A4"/>
    <w:rsid w:val="006904DD"/>
    <w:rsid w:val="006909D0"/>
    <w:rsid w:val="006910DD"/>
    <w:rsid w:val="006915A8"/>
    <w:rsid w:val="00693793"/>
    <w:rsid w:val="0069406C"/>
    <w:rsid w:val="00694D22"/>
    <w:rsid w:val="006953E6"/>
    <w:rsid w:val="00695778"/>
    <w:rsid w:val="0069640C"/>
    <w:rsid w:val="00697629"/>
    <w:rsid w:val="006A087F"/>
    <w:rsid w:val="006A0D96"/>
    <w:rsid w:val="006A212F"/>
    <w:rsid w:val="006A32F3"/>
    <w:rsid w:val="006A331F"/>
    <w:rsid w:val="006A60DE"/>
    <w:rsid w:val="006A7314"/>
    <w:rsid w:val="006A7620"/>
    <w:rsid w:val="006B26A1"/>
    <w:rsid w:val="006B2EBB"/>
    <w:rsid w:val="006B3D00"/>
    <w:rsid w:val="006B64C5"/>
    <w:rsid w:val="006B6800"/>
    <w:rsid w:val="006B69FE"/>
    <w:rsid w:val="006C01B2"/>
    <w:rsid w:val="006C0283"/>
    <w:rsid w:val="006C1FF0"/>
    <w:rsid w:val="006C23A1"/>
    <w:rsid w:val="006C26C5"/>
    <w:rsid w:val="006C2AF4"/>
    <w:rsid w:val="006C496D"/>
    <w:rsid w:val="006C4F53"/>
    <w:rsid w:val="006C50A3"/>
    <w:rsid w:val="006C5714"/>
    <w:rsid w:val="006C69B4"/>
    <w:rsid w:val="006C77E6"/>
    <w:rsid w:val="006D027B"/>
    <w:rsid w:val="006D0529"/>
    <w:rsid w:val="006D08D2"/>
    <w:rsid w:val="006D0D00"/>
    <w:rsid w:val="006D43AD"/>
    <w:rsid w:val="006D540C"/>
    <w:rsid w:val="006D622F"/>
    <w:rsid w:val="006D70BE"/>
    <w:rsid w:val="006D7653"/>
    <w:rsid w:val="006E13D7"/>
    <w:rsid w:val="006E1F0D"/>
    <w:rsid w:val="006E2069"/>
    <w:rsid w:val="006E2FAA"/>
    <w:rsid w:val="006E4CA9"/>
    <w:rsid w:val="006E53F5"/>
    <w:rsid w:val="006E7FD8"/>
    <w:rsid w:val="006F1410"/>
    <w:rsid w:val="006F3118"/>
    <w:rsid w:val="006F4044"/>
    <w:rsid w:val="006F4C46"/>
    <w:rsid w:val="006F54E1"/>
    <w:rsid w:val="006F588F"/>
    <w:rsid w:val="006F622C"/>
    <w:rsid w:val="006F7A49"/>
    <w:rsid w:val="007012BF"/>
    <w:rsid w:val="00702D08"/>
    <w:rsid w:val="00705EA7"/>
    <w:rsid w:val="007062EF"/>
    <w:rsid w:val="007066ED"/>
    <w:rsid w:val="007073C4"/>
    <w:rsid w:val="00707E03"/>
    <w:rsid w:val="00710730"/>
    <w:rsid w:val="00710A07"/>
    <w:rsid w:val="00714AB1"/>
    <w:rsid w:val="00714EB3"/>
    <w:rsid w:val="0071535A"/>
    <w:rsid w:val="00715374"/>
    <w:rsid w:val="00715CB8"/>
    <w:rsid w:val="00715D2A"/>
    <w:rsid w:val="00716228"/>
    <w:rsid w:val="0071747D"/>
    <w:rsid w:val="00717EB3"/>
    <w:rsid w:val="007204EF"/>
    <w:rsid w:val="0072081F"/>
    <w:rsid w:val="00720EFE"/>
    <w:rsid w:val="007210EA"/>
    <w:rsid w:val="00721990"/>
    <w:rsid w:val="00721A90"/>
    <w:rsid w:val="00722E2D"/>
    <w:rsid w:val="007234A0"/>
    <w:rsid w:val="00723AAB"/>
    <w:rsid w:val="00726025"/>
    <w:rsid w:val="00726AD5"/>
    <w:rsid w:val="007305B6"/>
    <w:rsid w:val="00731521"/>
    <w:rsid w:val="007319E7"/>
    <w:rsid w:val="00731D4C"/>
    <w:rsid w:val="00731D85"/>
    <w:rsid w:val="0073246A"/>
    <w:rsid w:val="007369BF"/>
    <w:rsid w:val="00740585"/>
    <w:rsid w:val="007417FF"/>
    <w:rsid w:val="007425D8"/>
    <w:rsid w:val="0074314D"/>
    <w:rsid w:val="007435D1"/>
    <w:rsid w:val="0074388B"/>
    <w:rsid w:val="00746463"/>
    <w:rsid w:val="007469B1"/>
    <w:rsid w:val="00747E30"/>
    <w:rsid w:val="00750459"/>
    <w:rsid w:val="007508CD"/>
    <w:rsid w:val="00752568"/>
    <w:rsid w:val="00754535"/>
    <w:rsid w:val="00754B29"/>
    <w:rsid w:val="00755079"/>
    <w:rsid w:val="007550ED"/>
    <w:rsid w:val="0075520F"/>
    <w:rsid w:val="007556C8"/>
    <w:rsid w:val="00756D0F"/>
    <w:rsid w:val="00756F6B"/>
    <w:rsid w:val="00761026"/>
    <w:rsid w:val="007611A0"/>
    <w:rsid w:val="0076133F"/>
    <w:rsid w:val="00761617"/>
    <w:rsid w:val="00762373"/>
    <w:rsid w:val="00763D39"/>
    <w:rsid w:val="00764AC3"/>
    <w:rsid w:val="00764B75"/>
    <w:rsid w:val="0076502E"/>
    <w:rsid w:val="00765538"/>
    <w:rsid w:val="00765DC2"/>
    <w:rsid w:val="00765FD3"/>
    <w:rsid w:val="00766AD2"/>
    <w:rsid w:val="00771208"/>
    <w:rsid w:val="0077227E"/>
    <w:rsid w:val="00772A1D"/>
    <w:rsid w:val="0077464A"/>
    <w:rsid w:val="007746AC"/>
    <w:rsid w:val="00774A90"/>
    <w:rsid w:val="00775DF8"/>
    <w:rsid w:val="00775E6C"/>
    <w:rsid w:val="007779FA"/>
    <w:rsid w:val="00780174"/>
    <w:rsid w:val="0078096A"/>
    <w:rsid w:val="00782758"/>
    <w:rsid w:val="00782D03"/>
    <w:rsid w:val="007831BE"/>
    <w:rsid w:val="007833F0"/>
    <w:rsid w:val="00783584"/>
    <w:rsid w:val="00783F22"/>
    <w:rsid w:val="00784A39"/>
    <w:rsid w:val="007871B5"/>
    <w:rsid w:val="007876ED"/>
    <w:rsid w:val="00787BAE"/>
    <w:rsid w:val="00790C45"/>
    <w:rsid w:val="00790DEA"/>
    <w:rsid w:val="00792552"/>
    <w:rsid w:val="00793703"/>
    <w:rsid w:val="007938A3"/>
    <w:rsid w:val="00793C16"/>
    <w:rsid w:val="00795546"/>
    <w:rsid w:val="00795D7E"/>
    <w:rsid w:val="00796D66"/>
    <w:rsid w:val="00797D74"/>
    <w:rsid w:val="007A04E3"/>
    <w:rsid w:val="007A09B1"/>
    <w:rsid w:val="007A1CF0"/>
    <w:rsid w:val="007A2B7C"/>
    <w:rsid w:val="007A3271"/>
    <w:rsid w:val="007A3559"/>
    <w:rsid w:val="007A35AB"/>
    <w:rsid w:val="007A3843"/>
    <w:rsid w:val="007A3923"/>
    <w:rsid w:val="007A4275"/>
    <w:rsid w:val="007A446B"/>
    <w:rsid w:val="007A45C1"/>
    <w:rsid w:val="007A4C5B"/>
    <w:rsid w:val="007A4D07"/>
    <w:rsid w:val="007A5F21"/>
    <w:rsid w:val="007B0D8C"/>
    <w:rsid w:val="007B14DF"/>
    <w:rsid w:val="007B3C33"/>
    <w:rsid w:val="007B4652"/>
    <w:rsid w:val="007B75EC"/>
    <w:rsid w:val="007B7E8A"/>
    <w:rsid w:val="007C0234"/>
    <w:rsid w:val="007C0F7C"/>
    <w:rsid w:val="007C34D6"/>
    <w:rsid w:val="007C375E"/>
    <w:rsid w:val="007C3CF0"/>
    <w:rsid w:val="007C4870"/>
    <w:rsid w:val="007C4EF2"/>
    <w:rsid w:val="007C605C"/>
    <w:rsid w:val="007C6567"/>
    <w:rsid w:val="007C656F"/>
    <w:rsid w:val="007C68D2"/>
    <w:rsid w:val="007C69E1"/>
    <w:rsid w:val="007C77F0"/>
    <w:rsid w:val="007D1BA2"/>
    <w:rsid w:val="007D1BCA"/>
    <w:rsid w:val="007D54CF"/>
    <w:rsid w:val="007D6C97"/>
    <w:rsid w:val="007D7386"/>
    <w:rsid w:val="007D7CF4"/>
    <w:rsid w:val="007D7D24"/>
    <w:rsid w:val="007E02A0"/>
    <w:rsid w:val="007E114F"/>
    <w:rsid w:val="007E1AD1"/>
    <w:rsid w:val="007E2FA5"/>
    <w:rsid w:val="007E37B7"/>
    <w:rsid w:val="007E3A10"/>
    <w:rsid w:val="007E3C35"/>
    <w:rsid w:val="007E4467"/>
    <w:rsid w:val="007E44FD"/>
    <w:rsid w:val="007E4E3C"/>
    <w:rsid w:val="007E5BED"/>
    <w:rsid w:val="007E6395"/>
    <w:rsid w:val="007E6D13"/>
    <w:rsid w:val="007E7777"/>
    <w:rsid w:val="007E7B58"/>
    <w:rsid w:val="007E7C7D"/>
    <w:rsid w:val="007F1596"/>
    <w:rsid w:val="007F1959"/>
    <w:rsid w:val="007F1E25"/>
    <w:rsid w:val="007F378A"/>
    <w:rsid w:val="007F3B46"/>
    <w:rsid w:val="007F3DCA"/>
    <w:rsid w:val="007F4716"/>
    <w:rsid w:val="007F4975"/>
    <w:rsid w:val="007F4B75"/>
    <w:rsid w:val="007F4C82"/>
    <w:rsid w:val="007F5009"/>
    <w:rsid w:val="007F504E"/>
    <w:rsid w:val="007F6189"/>
    <w:rsid w:val="00800118"/>
    <w:rsid w:val="0080064B"/>
    <w:rsid w:val="00802FFD"/>
    <w:rsid w:val="00805697"/>
    <w:rsid w:val="0080696C"/>
    <w:rsid w:val="00806B8B"/>
    <w:rsid w:val="00807976"/>
    <w:rsid w:val="00807CF6"/>
    <w:rsid w:val="00807DCB"/>
    <w:rsid w:val="0081094F"/>
    <w:rsid w:val="008128B3"/>
    <w:rsid w:val="008131A5"/>
    <w:rsid w:val="008159D5"/>
    <w:rsid w:val="008162C6"/>
    <w:rsid w:val="0081636D"/>
    <w:rsid w:val="008164FA"/>
    <w:rsid w:val="00816993"/>
    <w:rsid w:val="00816CD8"/>
    <w:rsid w:val="00817974"/>
    <w:rsid w:val="008200CA"/>
    <w:rsid w:val="008204A3"/>
    <w:rsid w:val="0082094B"/>
    <w:rsid w:val="00820E63"/>
    <w:rsid w:val="008213DA"/>
    <w:rsid w:val="00822537"/>
    <w:rsid w:val="00823098"/>
    <w:rsid w:val="0082339C"/>
    <w:rsid w:val="00823CEE"/>
    <w:rsid w:val="00824161"/>
    <w:rsid w:val="008241EC"/>
    <w:rsid w:val="00824D68"/>
    <w:rsid w:val="00825ACC"/>
    <w:rsid w:val="00825F01"/>
    <w:rsid w:val="008273EB"/>
    <w:rsid w:val="00827846"/>
    <w:rsid w:val="00827D0B"/>
    <w:rsid w:val="008300E9"/>
    <w:rsid w:val="008305B8"/>
    <w:rsid w:val="00831C4F"/>
    <w:rsid w:val="00831CA2"/>
    <w:rsid w:val="008331EA"/>
    <w:rsid w:val="00833CA5"/>
    <w:rsid w:val="00834199"/>
    <w:rsid w:val="008374E7"/>
    <w:rsid w:val="0083769E"/>
    <w:rsid w:val="008379FD"/>
    <w:rsid w:val="008403C7"/>
    <w:rsid w:val="008405DE"/>
    <w:rsid w:val="00840650"/>
    <w:rsid w:val="008412BF"/>
    <w:rsid w:val="00841DA9"/>
    <w:rsid w:val="00842274"/>
    <w:rsid w:val="00842403"/>
    <w:rsid w:val="0084343C"/>
    <w:rsid w:val="00843C04"/>
    <w:rsid w:val="00843FE6"/>
    <w:rsid w:val="00846359"/>
    <w:rsid w:val="00846A8E"/>
    <w:rsid w:val="00846B80"/>
    <w:rsid w:val="0084791B"/>
    <w:rsid w:val="00850AE0"/>
    <w:rsid w:val="0085115D"/>
    <w:rsid w:val="008522FE"/>
    <w:rsid w:val="00852966"/>
    <w:rsid w:val="0085296E"/>
    <w:rsid w:val="008533CD"/>
    <w:rsid w:val="0085524F"/>
    <w:rsid w:val="008552FE"/>
    <w:rsid w:val="00855CBD"/>
    <w:rsid w:val="00855DDE"/>
    <w:rsid w:val="00856B25"/>
    <w:rsid w:val="008573D4"/>
    <w:rsid w:val="00857CFA"/>
    <w:rsid w:val="008616F2"/>
    <w:rsid w:val="0086228F"/>
    <w:rsid w:val="00862457"/>
    <w:rsid w:val="008629A2"/>
    <w:rsid w:val="00862B45"/>
    <w:rsid w:val="00862EFA"/>
    <w:rsid w:val="00864F63"/>
    <w:rsid w:val="00865DEB"/>
    <w:rsid w:val="00865E69"/>
    <w:rsid w:val="00867358"/>
    <w:rsid w:val="00867F9C"/>
    <w:rsid w:val="00870C52"/>
    <w:rsid w:val="00872642"/>
    <w:rsid w:val="00872A33"/>
    <w:rsid w:val="00872D04"/>
    <w:rsid w:val="00873402"/>
    <w:rsid w:val="008738B1"/>
    <w:rsid w:val="00874933"/>
    <w:rsid w:val="00874BBC"/>
    <w:rsid w:val="00874E47"/>
    <w:rsid w:val="00875630"/>
    <w:rsid w:val="008756EB"/>
    <w:rsid w:val="0087576A"/>
    <w:rsid w:val="00875DA4"/>
    <w:rsid w:val="008762A6"/>
    <w:rsid w:val="008762D9"/>
    <w:rsid w:val="008778C5"/>
    <w:rsid w:val="008779ED"/>
    <w:rsid w:val="00877A51"/>
    <w:rsid w:val="00877C66"/>
    <w:rsid w:val="0088138C"/>
    <w:rsid w:val="008816FA"/>
    <w:rsid w:val="00881A20"/>
    <w:rsid w:val="00883115"/>
    <w:rsid w:val="008834D0"/>
    <w:rsid w:val="008836BA"/>
    <w:rsid w:val="00885526"/>
    <w:rsid w:val="008870EB"/>
    <w:rsid w:val="00890008"/>
    <w:rsid w:val="00890444"/>
    <w:rsid w:val="00890686"/>
    <w:rsid w:val="00890B1E"/>
    <w:rsid w:val="00890B54"/>
    <w:rsid w:val="008923E4"/>
    <w:rsid w:val="0089326D"/>
    <w:rsid w:val="00893F0A"/>
    <w:rsid w:val="0089439B"/>
    <w:rsid w:val="00895ABC"/>
    <w:rsid w:val="00895BFA"/>
    <w:rsid w:val="008967B4"/>
    <w:rsid w:val="00896859"/>
    <w:rsid w:val="00896F31"/>
    <w:rsid w:val="008973D1"/>
    <w:rsid w:val="008974C0"/>
    <w:rsid w:val="008978BE"/>
    <w:rsid w:val="00897B10"/>
    <w:rsid w:val="008A0289"/>
    <w:rsid w:val="008A04A9"/>
    <w:rsid w:val="008A0F2E"/>
    <w:rsid w:val="008A1060"/>
    <w:rsid w:val="008A279E"/>
    <w:rsid w:val="008A3BE4"/>
    <w:rsid w:val="008A3E6C"/>
    <w:rsid w:val="008A3FDD"/>
    <w:rsid w:val="008A44D8"/>
    <w:rsid w:val="008A4E74"/>
    <w:rsid w:val="008A58EE"/>
    <w:rsid w:val="008A633D"/>
    <w:rsid w:val="008A7F23"/>
    <w:rsid w:val="008B0598"/>
    <w:rsid w:val="008B0E8D"/>
    <w:rsid w:val="008B1137"/>
    <w:rsid w:val="008B3E8E"/>
    <w:rsid w:val="008B4531"/>
    <w:rsid w:val="008B4A9D"/>
    <w:rsid w:val="008B549A"/>
    <w:rsid w:val="008B640C"/>
    <w:rsid w:val="008B670B"/>
    <w:rsid w:val="008B7DC5"/>
    <w:rsid w:val="008C0D33"/>
    <w:rsid w:val="008C0D9C"/>
    <w:rsid w:val="008C275C"/>
    <w:rsid w:val="008C2A8A"/>
    <w:rsid w:val="008C308B"/>
    <w:rsid w:val="008C3AA6"/>
    <w:rsid w:val="008C48AA"/>
    <w:rsid w:val="008C4FDD"/>
    <w:rsid w:val="008C579E"/>
    <w:rsid w:val="008C6486"/>
    <w:rsid w:val="008C6978"/>
    <w:rsid w:val="008C7259"/>
    <w:rsid w:val="008C7795"/>
    <w:rsid w:val="008C7C12"/>
    <w:rsid w:val="008C7C51"/>
    <w:rsid w:val="008D19CC"/>
    <w:rsid w:val="008D1CCA"/>
    <w:rsid w:val="008D272F"/>
    <w:rsid w:val="008D2FAE"/>
    <w:rsid w:val="008D3182"/>
    <w:rsid w:val="008D395C"/>
    <w:rsid w:val="008D3B52"/>
    <w:rsid w:val="008D3ED1"/>
    <w:rsid w:val="008D4C93"/>
    <w:rsid w:val="008D53C3"/>
    <w:rsid w:val="008D5741"/>
    <w:rsid w:val="008D57E2"/>
    <w:rsid w:val="008D5FE6"/>
    <w:rsid w:val="008D67D7"/>
    <w:rsid w:val="008D74C9"/>
    <w:rsid w:val="008D75B8"/>
    <w:rsid w:val="008D77D7"/>
    <w:rsid w:val="008D7BDD"/>
    <w:rsid w:val="008E0053"/>
    <w:rsid w:val="008E03BA"/>
    <w:rsid w:val="008E1820"/>
    <w:rsid w:val="008E18B2"/>
    <w:rsid w:val="008E425F"/>
    <w:rsid w:val="008E4599"/>
    <w:rsid w:val="008E56BF"/>
    <w:rsid w:val="008E67A5"/>
    <w:rsid w:val="008F18A2"/>
    <w:rsid w:val="008F1B33"/>
    <w:rsid w:val="008F25F9"/>
    <w:rsid w:val="008F34D6"/>
    <w:rsid w:val="008F35FE"/>
    <w:rsid w:val="008F3649"/>
    <w:rsid w:val="008F3FC6"/>
    <w:rsid w:val="008F438C"/>
    <w:rsid w:val="008F45D5"/>
    <w:rsid w:val="008F4E57"/>
    <w:rsid w:val="008F670D"/>
    <w:rsid w:val="008F748C"/>
    <w:rsid w:val="008F75D7"/>
    <w:rsid w:val="00900103"/>
    <w:rsid w:val="00900743"/>
    <w:rsid w:val="00901A93"/>
    <w:rsid w:val="00901DF2"/>
    <w:rsid w:val="009025E8"/>
    <w:rsid w:val="009029D6"/>
    <w:rsid w:val="00902E90"/>
    <w:rsid w:val="009040DC"/>
    <w:rsid w:val="009045ED"/>
    <w:rsid w:val="009049F1"/>
    <w:rsid w:val="00905834"/>
    <w:rsid w:val="00905B0F"/>
    <w:rsid w:val="00906471"/>
    <w:rsid w:val="00906B73"/>
    <w:rsid w:val="00907D0C"/>
    <w:rsid w:val="0091077A"/>
    <w:rsid w:val="00911349"/>
    <w:rsid w:val="0091187F"/>
    <w:rsid w:val="00911F1A"/>
    <w:rsid w:val="0091368C"/>
    <w:rsid w:val="00913966"/>
    <w:rsid w:val="0091435A"/>
    <w:rsid w:val="009147B5"/>
    <w:rsid w:val="00915910"/>
    <w:rsid w:val="00916E2B"/>
    <w:rsid w:val="009172E6"/>
    <w:rsid w:val="00920302"/>
    <w:rsid w:val="00921F66"/>
    <w:rsid w:val="00922CBE"/>
    <w:rsid w:val="00922FCE"/>
    <w:rsid w:val="0092300C"/>
    <w:rsid w:val="009231A9"/>
    <w:rsid w:val="009243F7"/>
    <w:rsid w:val="00924ED8"/>
    <w:rsid w:val="0092548D"/>
    <w:rsid w:val="00925A68"/>
    <w:rsid w:val="009266F2"/>
    <w:rsid w:val="009304CB"/>
    <w:rsid w:val="0093122D"/>
    <w:rsid w:val="0093159F"/>
    <w:rsid w:val="009322A2"/>
    <w:rsid w:val="00932A84"/>
    <w:rsid w:val="009330E5"/>
    <w:rsid w:val="0093312C"/>
    <w:rsid w:val="009333B6"/>
    <w:rsid w:val="00933705"/>
    <w:rsid w:val="00933F65"/>
    <w:rsid w:val="009341A0"/>
    <w:rsid w:val="00934C76"/>
    <w:rsid w:val="00935270"/>
    <w:rsid w:val="00935E4B"/>
    <w:rsid w:val="0093611E"/>
    <w:rsid w:val="00936956"/>
    <w:rsid w:val="009372FC"/>
    <w:rsid w:val="00937EA4"/>
    <w:rsid w:val="009403CB"/>
    <w:rsid w:val="0094061D"/>
    <w:rsid w:val="0094115B"/>
    <w:rsid w:val="00942B9C"/>
    <w:rsid w:val="009433EE"/>
    <w:rsid w:val="0094575F"/>
    <w:rsid w:val="00946054"/>
    <w:rsid w:val="00946AD0"/>
    <w:rsid w:val="0095087F"/>
    <w:rsid w:val="0095133F"/>
    <w:rsid w:val="00951605"/>
    <w:rsid w:val="0095191B"/>
    <w:rsid w:val="00954E85"/>
    <w:rsid w:val="00955D3A"/>
    <w:rsid w:val="00955E6A"/>
    <w:rsid w:val="00957346"/>
    <w:rsid w:val="00957494"/>
    <w:rsid w:val="009605B2"/>
    <w:rsid w:val="009606C2"/>
    <w:rsid w:val="00960736"/>
    <w:rsid w:val="00960E50"/>
    <w:rsid w:val="00961E54"/>
    <w:rsid w:val="00962335"/>
    <w:rsid w:val="009624B7"/>
    <w:rsid w:val="00962D95"/>
    <w:rsid w:val="0096339F"/>
    <w:rsid w:val="009636B2"/>
    <w:rsid w:val="009637ED"/>
    <w:rsid w:val="00963CB1"/>
    <w:rsid w:val="00964732"/>
    <w:rsid w:val="00966061"/>
    <w:rsid w:val="009660A4"/>
    <w:rsid w:val="0096693A"/>
    <w:rsid w:val="00970024"/>
    <w:rsid w:val="00970167"/>
    <w:rsid w:val="00970353"/>
    <w:rsid w:val="00970886"/>
    <w:rsid w:val="009708E0"/>
    <w:rsid w:val="00972CC3"/>
    <w:rsid w:val="0097338A"/>
    <w:rsid w:val="009739B0"/>
    <w:rsid w:val="00974C54"/>
    <w:rsid w:val="009751C0"/>
    <w:rsid w:val="00975443"/>
    <w:rsid w:val="0097590C"/>
    <w:rsid w:val="009759DE"/>
    <w:rsid w:val="009761B2"/>
    <w:rsid w:val="00976C51"/>
    <w:rsid w:val="00976DA5"/>
    <w:rsid w:val="0098038E"/>
    <w:rsid w:val="00980602"/>
    <w:rsid w:val="00980DDF"/>
    <w:rsid w:val="009821E8"/>
    <w:rsid w:val="0098489C"/>
    <w:rsid w:val="00985D3F"/>
    <w:rsid w:val="0098684C"/>
    <w:rsid w:val="00987E95"/>
    <w:rsid w:val="00990F18"/>
    <w:rsid w:val="00991326"/>
    <w:rsid w:val="00991F1A"/>
    <w:rsid w:val="009951F5"/>
    <w:rsid w:val="00995B5B"/>
    <w:rsid w:val="00996BD4"/>
    <w:rsid w:val="00996F1B"/>
    <w:rsid w:val="00997274"/>
    <w:rsid w:val="00997756"/>
    <w:rsid w:val="00997EA4"/>
    <w:rsid w:val="009A014A"/>
    <w:rsid w:val="009A01FE"/>
    <w:rsid w:val="009A0C52"/>
    <w:rsid w:val="009A11F3"/>
    <w:rsid w:val="009A1A03"/>
    <w:rsid w:val="009A27C7"/>
    <w:rsid w:val="009A28EB"/>
    <w:rsid w:val="009A3055"/>
    <w:rsid w:val="009A3736"/>
    <w:rsid w:val="009A3E50"/>
    <w:rsid w:val="009A3EEC"/>
    <w:rsid w:val="009A5389"/>
    <w:rsid w:val="009A7127"/>
    <w:rsid w:val="009A785D"/>
    <w:rsid w:val="009A7A34"/>
    <w:rsid w:val="009A7FA1"/>
    <w:rsid w:val="009B0319"/>
    <w:rsid w:val="009B044C"/>
    <w:rsid w:val="009B0755"/>
    <w:rsid w:val="009B0A16"/>
    <w:rsid w:val="009B191B"/>
    <w:rsid w:val="009B202D"/>
    <w:rsid w:val="009B3319"/>
    <w:rsid w:val="009B4739"/>
    <w:rsid w:val="009B4E6F"/>
    <w:rsid w:val="009B5590"/>
    <w:rsid w:val="009B6C0B"/>
    <w:rsid w:val="009B7B91"/>
    <w:rsid w:val="009C0382"/>
    <w:rsid w:val="009C1954"/>
    <w:rsid w:val="009C1DBC"/>
    <w:rsid w:val="009C2DC8"/>
    <w:rsid w:val="009C3192"/>
    <w:rsid w:val="009C31B7"/>
    <w:rsid w:val="009C33F5"/>
    <w:rsid w:val="009C3547"/>
    <w:rsid w:val="009C4300"/>
    <w:rsid w:val="009C44B0"/>
    <w:rsid w:val="009C5B06"/>
    <w:rsid w:val="009C6000"/>
    <w:rsid w:val="009C704F"/>
    <w:rsid w:val="009D01EE"/>
    <w:rsid w:val="009D0C29"/>
    <w:rsid w:val="009D121C"/>
    <w:rsid w:val="009D17D8"/>
    <w:rsid w:val="009D1FC5"/>
    <w:rsid w:val="009D219C"/>
    <w:rsid w:val="009D242A"/>
    <w:rsid w:val="009D4F1D"/>
    <w:rsid w:val="009D544B"/>
    <w:rsid w:val="009D58A3"/>
    <w:rsid w:val="009D6479"/>
    <w:rsid w:val="009D6C5C"/>
    <w:rsid w:val="009D717F"/>
    <w:rsid w:val="009D7AD7"/>
    <w:rsid w:val="009E08C5"/>
    <w:rsid w:val="009E164B"/>
    <w:rsid w:val="009E1B80"/>
    <w:rsid w:val="009E1D72"/>
    <w:rsid w:val="009E2AEC"/>
    <w:rsid w:val="009E641E"/>
    <w:rsid w:val="009E78DE"/>
    <w:rsid w:val="009E7A23"/>
    <w:rsid w:val="009F02D8"/>
    <w:rsid w:val="009F0432"/>
    <w:rsid w:val="009F0869"/>
    <w:rsid w:val="009F1569"/>
    <w:rsid w:val="009F175A"/>
    <w:rsid w:val="009F1B18"/>
    <w:rsid w:val="009F2285"/>
    <w:rsid w:val="009F232D"/>
    <w:rsid w:val="009F3012"/>
    <w:rsid w:val="009F350E"/>
    <w:rsid w:val="009F3DD5"/>
    <w:rsid w:val="009F4E65"/>
    <w:rsid w:val="009F5D1F"/>
    <w:rsid w:val="009F6C24"/>
    <w:rsid w:val="009F73E1"/>
    <w:rsid w:val="009F73E7"/>
    <w:rsid w:val="00A00928"/>
    <w:rsid w:val="00A009F4"/>
    <w:rsid w:val="00A01037"/>
    <w:rsid w:val="00A01329"/>
    <w:rsid w:val="00A0139A"/>
    <w:rsid w:val="00A01855"/>
    <w:rsid w:val="00A03162"/>
    <w:rsid w:val="00A03CB7"/>
    <w:rsid w:val="00A03E23"/>
    <w:rsid w:val="00A041EB"/>
    <w:rsid w:val="00A04692"/>
    <w:rsid w:val="00A05F4F"/>
    <w:rsid w:val="00A06104"/>
    <w:rsid w:val="00A07C12"/>
    <w:rsid w:val="00A113E0"/>
    <w:rsid w:val="00A12148"/>
    <w:rsid w:val="00A12425"/>
    <w:rsid w:val="00A127CC"/>
    <w:rsid w:val="00A13241"/>
    <w:rsid w:val="00A13462"/>
    <w:rsid w:val="00A15EC1"/>
    <w:rsid w:val="00A16265"/>
    <w:rsid w:val="00A16E86"/>
    <w:rsid w:val="00A17CF0"/>
    <w:rsid w:val="00A17D0A"/>
    <w:rsid w:val="00A17DEA"/>
    <w:rsid w:val="00A20DD9"/>
    <w:rsid w:val="00A21402"/>
    <w:rsid w:val="00A21F01"/>
    <w:rsid w:val="00A2285B"/>
    <w:rsid w:val="00A22FFB"/>
    <w:rsid w:val="00A23262"/>
    <w:rsid w:val="00A23945"/>
    <w:rsid w:val="00A2439A"/>
    <w:rsid w:val="00A24E82"/>
    <w:rsid w:val="00A2638D"/>
    <w:rsid w:val="00A26A73"/>
    <w:rsid w:val="00A270F7"/>
    <w:rsid w:val="00A301F4"/>
    <w:rsid w:val="00A304F3"/>
    <w:rsid w:val="00A305C0"/>
    <w:rsid w:val="00A30764"/>
    <w:rsid w:val="00A308D6"/>
    <w:rsid w:val="00A30A03"/>
    <w:rsid w:val="00A30CB6"/>
    <w:rsid w:val="00A31417"/>
    <w:rsid w:val="00A337BB"/>
    <w:rsid w:val="00A339D1"/>
    <w:rsid w:val="00A33EA5"/>
    <w:rsid w:val="00A348AC"/>
    <w:rsid w:val="00A35B9C"/>
    <w:rsid w:val="00A360DE"/>
    <w:rsid w:val="00A374A9"/>
    <w:rsid w:val="00A37A1B"/>
    <w:rsid w:val="00A37A65"/>
    <w:rsid w:val="00A41A67"/>
    <w:rsid w:val="00A41BF0"/>
    <w:rsid w:val="00A41C5A"/>
    <w:rsid w:val="00A425B1"/>
    <w:rsid w:val="00A42C76"/>
    <w:rsid w:val="00A43292"/>
    <w:rsid w:val="00A432D3"/>
    <w:rsid w:val="00A43C32"/>
    <w:rsid w:val="00A43E5E"/>
    <w:rsid w:val="00A43F47"/>
    <w:rsid w:val="00A4438C"/>
    <w:rsid w:val="00A443F4"/>
    <w:rsid w:val="00A44ABE"/>
    <w:rsid w:val="00A44C3A"/>
    <w:rsid w:val="00A4553C"/>
    <w:rsid w:val="00A458F2"/>
    <w:rsid w:val="00A4613F"/>
    <w:rsid w:val="00A46357"/>
    <w:rsid w:val="00A46497"/>
    <w:rsid w:val="00A4695D"/>
    <w:rsid w:val="00A46F79"/>
    <w:rsid w:val="00A47249"/>
    <w:rsid w:val="00A47495"/>
    <w:rsid w:val="00A4754C"/>
    <w:rsid w:val="00A47A55"/>
    <w:rsid w:val="00A51E0B"/>
    <w:rsid w:val="00A5323B"/>
    <w:rsid w:val="00A53402"/>
    <w:rsid w:val="00A54960"/>
    <w:rsid w:val="00A549E9"/>
    <w:rsid w:val="00A556E1"/>
    <w:rsid w:val="00A55DDB"/>
    <w:rsid w:val="00A56E93"/>
    <w:rsid w:val="00A6046E"/>
    <w:rsid w:val="00A6078F"/>
    <w:rsid w:val="00A61247"/>
    <w:rsid w:val="00A6268D"/>
    <w:rsid w:val="00A626A2"/>
    <w:rsid w:val="00A63433"/>
    <w:rsid w:val="00A637DF"/>
    <w:rsid w:val="00A6439E"/>
    <w:rsid w:val="00A64B0C"/>
    <w:rsid w:val="00A65619"/>
    <w:rsid w:val="00A65D81"/>
    <w:rsid w:val="00A6689C"/>
    <w:rsid w:val="00A70964"/>
    <w:rsid w:val="00A711F0"/>
    <w:rsid w:val="00A71510"/>
    <w:rsid w:val="00A71713"/>
    <w:rsid w:val="00A77726"/>
    <w:rsid w:val="00A77D39"/>
    <w:rsid w:val="00A80169"/>
    <w:rsid w:val="00A80234"/>
    <w:rsid w:val="00A82087"/>
    <w:rsid w:val="00A835D7"/>
    <w:rsid w:val="00A83F82"/>
    <w:rsid w:val="00A842EC"/>
    <w:rsid w:val="00A8436B"/>
    <w:rsid w:val="00A84777"/>
    <w:rsid w:val="00A84A45"/>
    <w:rsid w:val="00A84BCC"/>
    <w:rsid w:val="00A85486"/>
    <w:rsid w:val="00A856B6"/>
    <w:rsid w:val="00A861BA"/>
    <w:rsid w:val="00A8689B"/>
    <w:rsid w:val="00A86B9F"/>
    <w:rsid w:val="00A87357"/>
    <w:rsid w:val="00A875D1"/>
    <w:rsid w:val="00A8772F"/>
    <w:rsid w:val="00A87B07"/>
    <w:rsid w:val="00A907FE"/>
    <w:rsid w:val="00A90B16"/>
    <w:rsid w:val="00A90F8A"/>
    <w:rsid w:val="00A91E4E"/>
    <w:rsid w:val="00A921EC"/>
    <w:rsid w:val="00A92D41"/>
    <w:rsid w:val="00A9421B"/>
    <w:rsid w:val="00A95957"/>
    <w:rsid w:val="00A977B7"/>
    <w:rsid w:val="00AA038F"/>
    <w:rsid w:val="00AA0CE4"/>
    <w:rsid w:val="00AA17FF"/>
    <w:rsid w:val="00AA2F33"/>
    <w:rsid w:val="00AA32C3"/>
    <w:rsid w:val="00AA6CB9"/>
    <w:rsid w:val="00AA7436"/>
    <w:rsid w:val="00AA780A"/>
    <w:rsid w:val="00AB0C78"/>
    <w:rsid w:val="00AB0ED7"/>
    <w:rsid w:val="00AB19FF"/>
    <w:rsid w:val="00AB1BCF"/>
    <w:rsid w:val="00AB1D38"/>
    <w:rsid w:val="00AB205C"/>
    <w:rsid w:val="00AB2937"/>
    <w:rsid w:val="00AB2D61"/>
    <w:rsid w:val="00AB3438"/>
    <w:rsid w:val="00AB3A47"/>
    <w:rsid w:val="00AB3F11"/>
    <w:rsid w:val="00AB41DF"/>
    <w:rsid w:val="00AB52F1"/>
    <w:rsid w:val="00AB6A99"/>
    <w:rsid w:val="00AB6EBC"/>
    <w:rsid w:val="00AB7276"/>
    <w:rsid w:val="00AC018F"/>
    <w:rsid w:val="00AC130D"/>
    <w:rsid w:val="00AC133C"/>
    <w:rsid w:val="00AC14E6"/>
    <w:rsid w:val="00AC2C30"/>
    <w:rsid w:val="00AC42A1"/>
    <w:rsid w:val="00AC5AD9"/>
    <w:rsid w:val="00AC5E83"/>
    <w:rsid w:val="00AC6698"/>
    <w:rsid w:val="00AC6C42"/>
    <w:rsid w:val="00AC7071"/>
    <w:rsid w:val="00AC7E49"/>
    <w:rsid w:val="00AD0978"/>
    <w:rsid w:val="00AD0F03"/>
    <w:rsid w:val="00AD1B4D"/>
    <w:rsid w:val="00AD2B18"/>
    <w:rsid w:val="00AD395D"/>
    <w:rsid w:val="00AD5A61"/>
    <w:rsid w:val="00AD7DBA"/>
    <w:rsid w:val="00AD7E99"/>
    <w:rsid w:val="00AE1515"/>
    <w:rsid w:val="00AE22A9"/>
    <w:rsid w:val="00AE2300"/>
    <w:rsid w:val="00AE2CA7"/>
    <w:rsid w:val="00AE3212"/>
    <w:rsid w:val="00AE477F"/>
    <w:rsid w:val="00AE4CA4"/>
    <w:rsid w:val="00AE544F"/>
    <w:rsid w:val="00AE54B1"/>
    <w:rsid w:val="00AE62BE"/>
    <w:rsid w:val="00AE6D6B"/>
    <w:rsid w:val="00AE6E4E"/>
    <w:rsid w:val="00AE705D"/>
    <w:rsid w:val="00AE75C2"/>
    <w:rsid w:val="00AE7AA0"/>
    <w:rsid w:val="00AF08B5"/>
    <w:rsid w:val="00AF22C8"/>
    <w:rsid w:val="00AF329F"/>
    <w:rsid w:val="00AF4197"/>
    <w:rsid w:val="00AF4504"/>
    <w:rsid w:val="00AF4AF9"/>
    <w:rsid w:val="00AF643F"/>
    <w:rsid w:val="00B02D79"/>
    <w:rsid w:val="00B041A8"/>
    <w:rsid w:val="00B043C5"/>
    <w:rsid w:val="00B04E20"/>
    <w:rsid w:val="00B058BB"/>
    <w:rsid w:val="00B06C22"/>
    <w:rsid w:val="00B0707E"/>
    <w:rsid w:val="00B07E3E"/>
    <w:rsid w:val="00B10490"/>
    <w:rsid w:val="00B10FCE"/>
    <w:rsid w:val="00B11C12"/>
    <w:rsid w:val="00B12DBA"/>
    <w:rsid w:val="00B12F03"/>
    <w:rsid w:val="00B14CD3"/>
    <w:rsid w:val="00B16E79"/>
    <w:rsid w:val="00B174F8"/>
    <w:rsid w:val="00B175D1"/>
    <w:rsid w:val="00B17DB2"/>
    <w:rsid w:val="00B20059"/>
    <w:rsid w:val="00B20A27"/>
    <w:rsid w:val="00B2217C"/>
    <w:rsid w:val="00B22D9C"/>
    <w:rsid w:val="00B2300E"/>
    <w:rsid w:val="00B23FB5"/>
    <w:rsid w:val="00B24DB5"/>
    <w:rsid w:val="00B25937"/>
    <w:rsid w:val="00B2595F"/>
    <w:rsid w:val="00B26155"/>
    <w:rsid w:val="00B2652C"/>
    <w:rsid w:val="00B269EC"/>
    <w:rsid w:val="00B26A35"/>
    <w:rsid w:val="00B272F7"/>
    <w:rsid w:val="00B30947"/>
    <w:rsid w:val="00B30CA1"/>
    <w:rsid w:val="00B30E56"/>
    <w:rsid w:val="00B31ABD"/>
    <w:rsid w:val="00B31B17"/>
    <w:rsid w:val="00B31C93"/>
    <w:rsid w:val="00B31EDC"/>
    <w:rsid w:val="00B33110"/>
    <w:rsid w:val="00B331F7"/>
    <w:rsid w:val="00B336EE"/>
    <w:rsid w:val="00B33A2C"/>
    <w:rsid w:val="00B33E80"/>
    <w:rsid w:val="00B33EFC"/>
    <w:rsid w:val="00B3410A"/>
    <w:rsid w:val="00B34318"/>
    <w:rsid w:val="00B37CBA"/>
    <w:rsid w:val="00B40F51"/>
    <w:rsid w:val="00B412C8"/>
    <w:rsid w:val="00B41A30"/>
    <w:rsid w:val="00B42131"/>
    <w:rsid w:val="00B42EE8"/>
    <w:rsid w:val="00B43271"/>
    <w:rsid w:val="00B438A0"/>
    <w:rsid w:val="00B442FF"/>
    <w:rsid w:val="00B443DB"/>
    <w:rsid w:val="00B44631"/>
    <w:rsid w:val="00B44BD8"/>
    <w:rsid w:val="00B44F13"/>
    <w:rsid w:val="00B4548F"/>
    <w:rsid w:val="00B457CD"/>
    <w:rsid w:val="00B463AB"/>
    <w:rsid w:val="00B463C7"/>
    <w:rsid w:val="00B50FA3"/>
    <w:rsid w:val="00B51A78"/>
    <w:rsid w:val="00B51BD9"/>
    <w:rsid w:val="00B51E29"/>
    <w:rsid w:val="00B53087"/>
    <w:rsid w:val="00B535AB"/>
    <w:rsid w:val="00B53742"/>
    <w:rsid w:val="00B53BC3"/>
    <w:rsid w:val="00B54C46"/>
    <w:rsid w:val="00B558E6"/>
    <w:rsid w:val="00B559C3"/>
    <w:rsid w:val="00B564CF"/>
    <w:rsid w:val="00B567A7"/>
    <w:rsid w:val="00B56F86"/>
    <w:rsid w:val="00B57574"/>
    <w:rsid w:val="00B57DC2"/>
    <w:rsid w:val="00B60213"/>
    <w:rsid w:val="00B60AA3"/>
    <w:rsid w:val="00B61DEA"/>
    <w:rsid w:val="00B61F8D"/>
    <w:rsid w:val="00B620D7"/>
    <w:rsid w:val="00B62C96"/>
    <w:rsid w:val="00B63042"/>
    <w:rsid w:val="00B630B3"/>
    <w:rsid w:val="00B63AFE"/>
    <w:rsid w:val="00B63C70"/>
    <w:rsid w:val="00B64011"/>
    <w:rsid w:val="00B65673"/>
    <w:rsid w:val="00B65C54"/>
    <w:rsid w:val="00B66D70"/>
    <w:rsid w:val="00B66E7F"/>
    <w:rsid w:val="00B67172"/>
    <w:rsid w:val="00B703D6"/>
    <w:rsid w:val="00B70EEE"/>
    <w:rsid w:val="00B71203"/>
    <w:rsid w:val="00B73638"/>
    <w:rsid w:val="00B73B50"/>
    <w:rsid w:val="00B7410B"/>
    <w:rsid w:val="00B74602"/>
    <w:rsid w:val="00B752AB"/>
    <w:rsid w:val="00B766B4"/>
    <w:rsid w:val="00B76B9B"/>
    <w:rsid w:val="00B77452"/>
    <w:rsid w:val="00B80223"/>
    <w:rsid w:val="00B80A4F"/>
    <w:rsid w:val="00B82110"/>
    <w:rsid w:val="00B82484"/>
    <w:rsid w:val="00B83646"/>
    <w:rsid w:val="00B83863"/>
    <w:rsid w:val="00B8450F"/>
    <w:rsid w:val="00B849EE"/>
    <w:rsid w:val="00B8504A"/>
    <w:rsid w:val="00B85211"/>
    <w:rsid w:val="00B85324"/>
    <w:rsid w:val="00B8618D"/>
    <w:rsid w:val="00B92716"/>
    <w:rsid w:val="00B94BD8"/>
    <w:rsid w:val="00B95905"/>
    <w:rsid w:val="00B96928"/>
    <w:rsid w:val="00B9782D"/>
    <w:rsid w:val="00B979FE"/>
    <w:rsid w:val="00B97B26"/>
    <w:rsid w:val="00B97F7A"/>
    <w:rsid w:val="00BA06E1"/>
    <w:rsid w:val="00BA1AEF"/>
    <w:rsid w:val="00BA2339"/>
    <w:rsid w:val="00BA3C67"/>
    <w:rsid w:val="00BA43EE"/>
    <w:rsid w:val="00BA48EB"/>
    <w:rsid w:val="00BA59C6"/>
    <w:rsid w:val="00BA6FB0"/>
    <w:rsid w:val="00BA70D1"/>
    <w:rsid w:val="00BA7C40"/>
    <w:rsid w:val="00BB0ABE"/>
    <w:rsid w:val="00BB0DC4"/>
    <w:rsid w:val="00BB172A"/>
    <w:rsid w:val="00BB1C71"/>
    <w:rsid w:val="00BB1E14"/>
    <w:rsid w:val="00BB2536"/>
    <w:rsid w:val="00BB2E4A"/>
    <w:rsid w:val="00BB3AF6"/>
    <w:rsid w:val="00BB47BB"/>
    <w:rsid w:val="00BB4959"/>
    <w:rsid w:val="00BB531C"/>
    <w:rsid w:val="00BC17E9"/>
    <w:rsid w:val="00BC2FBF"/>
    <w:rsid w:val="00BC383C"/>
    <w:rsid w:val="00BC4EA9"/>
    <w:rsid w:val="00BC5327"/>
    <w:rsid w:val="00BC6582"/>
    <w:rsid w:val="00BC6C17"/>
    <w:rsid w:val="00BC7868"/>
    <w:rsid w:val="00BC7A49"/>
    <w:rsid w:val="00BC7DB8"/>
    <w:rsid w:val="00BD0547"/>
    <w:rsid w:val="00BD0C48"/>
    <w:rsid w:val="00BD0D59"/>
    <w:rsid w:val="00BD1A80"/>
    <w:rsid w:val="00BD1BC1"/>
    <w:rsid w:val="00BD28F4"/>
    <w:rsid w:val="00BD5FE6"/>
    <w:rsid w:val="00BD603E"/>
    <w:rsid w:val="00BD719D"/>
    <w:rsid w:val="00BD7EF2"/>
    <w:rsid w:val="00BE0C56"/>
    <w:rsid w:val="00BE175A"/>
    <w:rsid w:val="00BE1C56"/>
    <w:rsid w:val="00BE21D3"/>
    <w:rsid w:val="00BE2C4B"/>
    <w:rsid w:val="00BE3FAC"/>
    <w:rsid w:val="00BE496E"/>
    <w:rsid w:val="00BE54CA"/>
    <w:rsid w:val="00BE565F"/>
    <w:rsid w:val="00BE5F2B"/>
    <w:rsid w:val="00BE5FF5"/>
    <w:rsid w:val="00BE73B1"/>
    <w:rsid w:val="00BF16D4"/>
    <w:rsid w:val="00BF1C2B"/>
    <w:rsid w:val="00BF21F1"/>
    <w:rsid w:val="00BF273B"/>
    <w:rsid w:val="00BF340D"/>
    <w:rsid w:val="00BF4936"/>
    <w:rsid w:val="00BF5522"/>
    <w:rsid w:val="00BF5C70"/>
    <w:rsid w:val="00BF61A8"/>
    <w:rsid w:val="00BF727E"/>
    <w:rsid w:val="00BF7420"/>
    <w:rsid w:val="00BF7518"/>
    <w:rsid w:val="00BF7E7B"/>
    <w:rsid w:val="00C0070F"/>
    <w:rsid w:val="00C00899"/>
    <w:rsid w:val="00C00DD9"/>
    <w:rsid w:val="00C0170C"/>
    <w:rsid w:val="00C03E28"/>
    <w:rsid w:val="00C0482F"/>
    <w:rsid w:val="00C04CF7"/>
    <w:rsid w:val="00C04E94"/>
    <w:rsid w:val="00C05160"/>
    <w:rsid w:val="00C05384"/>
    <w:rsid w:val="00C05818"/>
    <w:rsid w:val="00C0680F"/>
    <w:rsid w:val="00C105A2"/>
    <w:rsid w:val="00C10D59"/>
    <w:rsid w:val="00C1151C"/>
    <w:rsid w:val="00C118EA"/>
    <w:rsid w:val="00C119FF"/>
    <w:rsid w:val="00C12052"/>
    <w:rsid w:val="00C12887"/>
    <w:rsid w:val="00C12A45"/>
    <w:rsid w:val="00C12AB5"/>
    <w:rsid w:val="00C1363E"/>
    <w:rsid w:val="00C14184"/>
    <w:rsid w:val="00C15BAE"/>
    <w:rsid w:val="00C173DD"/>
    <w:rsid w:val="00C1798B"/>
    <w:rsid w:val="00C179A0"/>
    <w:rsid w:val="00C21D17"/>
    <w:rsid w:val="00C222B0"/>
    <w:rsid w:val="00C24681"/>
    <w:rsid w:val="00C24923"/>
    <w:rsid w:val="00C2549E"/>
    <w:rsid w:val="00C25A09"/>
    <w:rsid w:val="00C25A4E"/>
    <w:rsid w:val="00C26785"/>
    <w:rsid w:val="00C26D40"/>
    <w:rsid w:val="00C26D57"/>
    <w:rsid w:val="00C2747E"/>
    <w:rsid w:val="00C27A89"/>
    <w:rsid w:val="00C3059F"/>
    <w:rsid w:val="00C3086E"/>
    <w:rsid w:val="00C30CE7"/>
    <w:rsid w:val="00C310D1"/>
    <w:rsid w:val="00C3113D"/>
    <w:rsid w:val="00C32BFD"/>
    <w:rsid w:val="00C32F19"/>
    <w:rsid w:val="00C33CDE"/>
    <w:rsid w:val="00C34278"/>
    <w:rsid w:val="00C34F6D"/>
    <w:rsid w:val="00C3527A"/>
    <w:rsid w:val="00C359CD"/>
    <w:rsid w:val="00C36A57"/>
    <w:rsid w:val="00C403F2"/>
    <w:rsid w:val="00C40DB0"/>
    <w:rsid w:val="00C4107C"/>
    <w:rsid w:val="00C41B1A"/>
    <w:rsid w:val="00C41B52"/>
    <w:rsid w:val="00C41F3E"/>
    <w:rsid w:val="00C4257A"/>
    <w:rsid w:val="00C43091"/>
    <w:rsid w:val="00C436FD"/>
    <w:rsid w:val="00C44545"/>
    <w:rsid w:val="00C45832"/>
    <w:rsid w:val="00C45FD2"/>
    <w:rsid w:val="00C472D4"/>
    <w:rsid w:val="00C47659"/>
    <w:rsid w:val="00C47B8B"/>
    <w:rsid w:val="00C52AB5"/>
    <w:rsid w:val="00C53307"/>
    <w:rsid w:val="00C535E3"/>
    <w:rsid w:val="00C53D5B"/>
    <w:rsid w:val="00C5678A"/>
    <w:rsid w:val="00C57393"/>
    <w:rsid w:val="00C57746"/>
    <w:rsid w:val="00C6131A"/>
    <w:rsid w:val="00C61B5F"/>
    <w:rsid w:val="00C62149"/>
    <w:rsid w:val="00C62418"/>
    <w:rsid w:val="00C62E6F"/>
    <w:rsid w:val="00C632AF"/>
    <w:rsid w:val="00C64358"/>
    <w:rsid w:val="00C64B59"/>
    <w:rsid w:val="00C64FF2"/>
    <w:rsid w:val="00C65935"/>
    <w:rsid w:val="00C6630F"/>
    <w:rsid w:val="00C6740B"/>
    <w:rsid w:val="00C67EBD"/>
    <w:rsid w:val="00C67ED7"/>
    <w:rsid w:val="00C70B06"/>
    <w:rsid w:val="00C70B56"/>
    <w:rsid w:val="00C71069"/>
    <w:rsid w:val="00C7117D"/>
    <w:rsid w:val="00C71D1B"/>
    <w:rsid w:val="00C71F05"/>
    <w:rsid w:val="00C7201D"/>
    <w:rsid w:val="00C73647"/>
    <w:rsid w:val="00C75094"/>
    <w:rsid w:val="00C76CC7"/>
    <w:rsid w:val="00C77BB4"/>
    <w:rsid w:val="00C80BDC"/>
    <w:rsid w:val="00C80DEE"/>
    <w:rsid w:val="00C81324"/>
    <w:rsid w:val="00C8303A"/>
    <w:rsid w:val="00C86574"/>
    <w:rsid w:val="00C86AD8"/>
    <w:rsid w:val="00C86B34"/>
    <w:rsid w:val="00C86BF2"/>
    <w:rsid w:val="00C87138"/>
    <w:rsid w:val="00C8717C"/>
    <w:rsid w:val="00C91EC1"/>
    <w:rsid w:val="00C9342B"/>
    <w:rsid w:val="00C97022"/>
    <w:rsid w:val="00C9754D"/>
    <w:rsid w:val="00C977D8"/>
    <w:rsid w:val="00C97A39"/>
    <w:rsid w:val="00CA00A1"/>
    <w:rsid w:val="00CA020E"/>
    <w:rsid w:val="00CA224B"/>
    <w:rsid w:val="00CA22A3"/>
    <w:rsid w:val="00CA328A"/>
    <w:rsid w:val="00CA384F"/>
    <w:rsid w:val="00CA3AA8"/>
    <w:rsid w:val="00CA453D"/>
    <w:rsid w:val="00CA467B"/>
    <w:rsid w:val="00CA6556"/>
    <w:rsid w:val="00CA7007"/>
    <w:rsid w:val="00CA784F"/>
    <w:rsid w:val="00CB0706"/>
    <w:rsid w:val="00CB12DF"/>
    <w:rsid w:val="00CB24D1"/>
    <w:rsid w:val="00CB2DB2"/>
    <w:rsid w:val="00CB331E"/>
    <w:rsid w:val="00CB3A3E"/>
    <w:rsid w:val="00CB4EC4"/>
    <w:rsid w:val="00CB6134"/>
    <w:rsid w:val="00CB6F0F"/>
    <w:rsid w:val="00CB77C9"/>
    <w:rsid w:val="00CB797D"/>
    <w:rsid w:val="00CB7F8C"/>
    <w:rsid w:val="00CC01DA"/>
    <w:rsid w:val="00CC06A5"/>
    <w:rsid w:val="00CC2B38"/>
    <w:rsid w:val="00CC57FD"/>
    <w:rsid w:val="00CC5F17"/>
    <w:rsid w:val="00CC6C07"/>
    <w:rsid w:val="00CC78FD"/>
    <w:rsid w:val="00CC7A3B"/>
    <w:rsid w:val="00CD1A93"/>
    <w:rsid w:val="00CD2832"/>
    <w:rsid w:val="00CD5428"/>
    <w:rsid w:val="00CD56C3"/>
    <w:rsid w:val="00CE029C"/>
    <w:rsid w:val="00CE0DC7"/>
    <w:rsid w:val="00CE0DFB"/>
    <w:rsid w:val="00CE11B1"/>
    <w:rsid w:val="00CE1DF3"/>
    <w:rsid w:val="00CE238D"/>
    <w:rsid w:val="00CE380F"/>
    <w:rsid w:val="00CE3989"/>
    <w:rsid w:val="00CE3ED5"/>
    <w:rsid w:val="00CE41B5"/>
    <w:rsid w:val="00CE4C56"/>
    <w:rsid w:val="00CE5477"/>
    <w:rsid w:val="00CE577C"/>
    <w:rsid w:val="00CF004E"/>
    <w:rsid w:val="00CF08FF"/>
    <w:rsid w:val="00CF1875"/>
    <w:rsid w:val="00CF1F55"/>
    <w:rsid w:val="00CF2288"/>
    <w:rsid w:val="00CF2494"/>
    <w:rsid w:val="00CF281C"/>
    <w:rsid w:val="00CF2C21"/>
    <w:rsid w:val="00CF37F8"/>
    <w:rsid w:val="00CF4A50"/>
    <w:rsid w:val="00CF4C3D"/>
    <w:rsid w:val="00CF4D4A"/>
    <w:rsid w:val="00CF609C"/>
    <w:rsid w:val="00D00E20"/>
    <w:rsid w:val="00D02F46"/>
    <w:rsid w:val="00D032D6"/>
    <w:rsid w:val="00D04642"/>
    <w:rsid w:val="00D04722"/>
    <w:rsid w:val="00D05695"/>
    <w:rsid w:val="00D059C7"/>
    <w:rsid w:val="00D06B7F"/>
    <w:rsid w:val="00D129DC"/>
    <w:rsid w:val="00D12AA0"/>
    <w:rsid w:val="00D12D25"/>
    <w:rsid w:val="00D13219"/>
    <w:rsid w:val="00D13CB0"/>
    <w:rsid w:val="00D14287"/>
    <w:rsid w:val="00D1438C"/>
    <w:rsid w:val="00D15DD4"/>
    <w:rsid w:val="00D15F79"/>
    <w:rsid w:val="00D17A09"/>
    <w:rsid w:val="00D17CBF"/>
    <w:rsid w:val="00D17D5A"/>
    <w:rsid w:val="00D226D3"/>
    <w:rsid w:val="00D227B8"/>
    <w:rsid w:val="00D2285A"/>
    <w:rsid w:val="00D23696"/>
    <w:rsid w:val="00D238BA"/>
    <w:rsid w:val="00D23A42"/>
    <w:rsid w:val="00D245B6"/>
    <w:rsid w:val="00D248A5"/>
    <w:rsid w:val="00D24EA6"/>
    <w:rsid w:val="00D2767F"/>
    <w:rsid w:val="00D27716"/>
    <w:rsid w:val="00D27D98"/>
    <w:rsid w:val="00D323F5"/>
    <w:rsid w:val="00D3296A"/>
    <w:rsid w:val="00D332E1"/>
    <w:rsid w:val="00D34D7E"/>
    <w:rsid w:val="00D34D8D"/>
    <w:rsid w:val="00D36CEF"/>
    <w:rsid w:val="00D3707B"/>
    <w:rsid w:val="00D40812"/>
    <w:rsid w:val="00D40875"/>
    <w:rsid w:val="00D40880"/>
    <w:rsid w:val="00D419DA"/>
    <w:rsid w:val="00D429C9"/>
    <w:rsid w:val="00D42BE0"/>
    <w:rsid w:val="00D43022"/>
    <w:rsid w:val="00D4479C"/>
    <w:rsid w:val="00D44DB8"/>
    <w:rsid w:val="00D460C8"/>
    <w:rsid w:val="00D4630F"/>
    <w:rsid w:val="00D46537"/>
    <w:rsid w:val="00D46841"/>
    <w:rsid w:val="00D47765"/>
    <w:rsid w:val="00D477C3"/>
    <w:rsid w:val="00D50617"/>
    <w:rsid w:val="00D50E07"/>
    <w:rsid w:val="00D51E69"/>
    <w:rsid w:val="00D52ABD"/>
    <w:rsid w:val="00D54556"/>
    <w:rsid w:val="00D5504C"/>
    <w:rsid w:val="00D55057"/>
    <w:rsid w:val="00D57A98"/>
    <w:rsid w:val="00D611DB"/>
    <w:rsid w:val="00D612F0"/>
    <w:rsid w:val="00D61569"/>
    <w:rsid w:val="00D615D1"/>
    <w:rsid w:val="00D61FDB"/>
    <w:rsid w:val="00D621FD"/>
    <w:rsid w:val="00D624C3"/>
    <w:rsid w:val="00D626EB"/>
    <w:rsid w:val="00D62ED0"/>
    <w:rsid w:val="00D6399C"/>
    <w:rsid w:val="00D63E10"/>
    <w:rsid w:val="00D64258"/>
    <w:rsid w:val="00D64466"/>
    <w:rsid w:val="00D645FB"/>
    <w:rsid w:val="00D646B2"/>
    <w:rsid w:val="00D64D80"/>
    <w:rsid w:val="00D64E4E"/>
    <w:rsid w:val="00D65086"/>
    <w:rsid w:val="00D663B7"/>
    <w:rsid w:val="00D673E6"/>
    <w:rsid w:val="00D67972"/>
    <w:rsid w:val="00D71010"/>
    <w:rsid w:val="00D71289"/>
    <w:rsid w:val="00D729F6"/>
    <w:rsid w:val="00D73564"/>
    <w:rsid w:val="00D73EDD"/>
    <w:rsid w:val="00D74FE4"/>
    <w:rsid w:val="00D77E65"/>
    <w:rsid w:val="00D81645"/>
    <w:rsid w:val="00D817F3"/>
    <w:rsid w:val="00D822BF"/>
    <w:rsid w:val="00D82372"/>
    <w:rsid w:val="00D82B66"/>
    <w:rsid w:val="00D855FD"/>
    <w:rsid w:val="00D861A0"/>
    <w:rsid w:val="00D871E1"/>
    <w:rsid w:val="00D87F92"/>
    <w:rsid w:val="00D902D3"/>
    <w:rsid w:val="00D91029"/>
    <w:rsid w:val="00D9171C"/>
    <w:rsid w:val="00D92C29"/>
    <w:rsid w:val="00D92FFF"/>
    <w:rsid w:val="00D9318B"/>
    <w:rsid w:val="00D94A0F"/>
    <w:rsid w:val="00D95833"/>
    <w:rsid w:val="00D96FB3"/>
    <w:rsid w:val="00D97236"/>
    <w:rsid w:val="00D9727C"/>
    <w:rsid w:val="00D972E3"/>
    <w:rsid w:val="00D978C8"/>
    <w:rsid w:val="00DA134E"/>
    <w:rsid w:val="00DA1EF5"/>
    <w:rsid w:val="00DA3203"/>
    <w:rsid w:val="00DA3BB2"/>
    <w:rsid w:val="00DA3CD1"/>
    <w:rsid w:val="00DA4A83"/>
    <w:rsid w:val="00DA69C4"/>
    <w:rsid w:val="00DB000E"/>
    <w:rsid w:val="00DB0B46"/>
    <w:rsid w:val="00DB312F"/>
    <w:rsid w:val="00DB37C7"/>
    <w:rsid w:val="00DB3802"/>
    <w:rsid w:val="00DB3B3E"/>
    <w:rsid w:val="00DB4185"/>
    <w:rsid w:val="00DB5DCA"/>
    <w:rsid w:val="00DB690B"/>
    <w:rsid w:val="00DB7111"/>
    <w:rsid w:val="00DB7785"/>
    <w:rsid w:val="00DC05C3"/>
    <w:rsid w:val="00DC1F52"/>
    <w:rsid w:val="00DC233F"/>
    <w:rsid w:val="00DC2CDC"/>
    <w:rsid w:val="00DC35C1"/>
    <w:rsid w:val="00DC3972"/>
    <w:rsid w:val="00DC45D1"/>
    <w:rsid w:val="00DC5188"/>
    <w:rsid w:val="00DC5F04"/>
    <w:rsid w:val="00DC6165"/>
    <w:rsid w:val="00DC68A5"/>
    <w:rsid w:val="00DC7D31"/>
    <w:rsid w:val="00DD1006"/>
    <w:rsid w:val="00DD1A45"/>
    <w:rsid w:val="00DD1B3F"/>
    <w:rsid w:val="00DD1BF0"/>
    <w:rsid w:val="00DD1EFC"/>
    <w:rsid w:val="00DD207A"/>
    <w:rsid w:val="00DD2C77"/>
    <w:rsid w:val="00DD3460"/>
    <w:rsid w:val="00DD4E48"/>
    <w:rsid w:val="00DD50C6"/>
    <w:rsid w:val="00DD52E5"/>
    <w:rsid w:val="00DD565F"/>
    <w:rsid w:val="00DD57D2"/>
    <w:rsid w:val="00DD59FB"/>
    <w:rsid w:val="00DD5DB1"/>
    <w:rsid w:val="00DD6F89"/>
    <w:rsid w:val="00DD7BF1"/>
    <w:rsid w:val="00DE1141"/>
    <w:rsid w:val="00DE17F4"/>
    <w:rsid w:val="00DE19AE"/>
    <w:rsid w:val="00DE2029"/>
    <w:rsid w:val="00DE3821"/>
    <w:rsid w:val="00DE4355"/>
    <w:rsid w:val="00DE4A2B"/>
    <w:rsid w:val="00DE5D6C"/>
    <w:rsid w:val="00DE6189"/>
    <w:rsid w:val="00DE66AC"/>
    <w:rsid w:val="00DE6A7B"/>
    <w:rsid w:val="00DE6C15"/>
    <w:rsid w:val="00DF023C"/>
    <w:rsid w:val="00DF0537"/>
    <w:rsid w:val="00DF0B9D"/>
    <w:rsid w:val="00DF0CC8"/>
    <w:rsid w:val="00DF333D"/>
    <w:rsid w:val="00DF419E"/>
    <w:rsid w:val="00DF4B79"/>
    <w:rsid w:val="00DF4FC3"/>
    <w:rsid w:val="00DF5370"/>
    <w:rsid w:val="00DF5D67"/>
    <w:rsid w:val="00DF621E"/>
    <w:rsid w:val="00DF773A"/>
    <w:rsid w:val="00DF7E77"/>
    <w:rsid w:val="00E007D2"/>
    <w:rsid w:val="00E0081A"/>
    <w:rsid w:val="00E02D4E"/>
    <w:rsid w:val="00E03421"/>
    <w:rsid w:val="00E04497"/>
    <w:rsid w:val="00E04A7D"/>
    <w:rsid w:val="00E04BB8"/>
    <w:rsid w:val="00E05631"/>
    <w:rsid w:val="00E06A2D"/>
    <w:rsid w:val="00E073BB"/>
    <w:rsid w:val="00E07AD8"/>
    <w:rsid w:val="00E102E7"/>
    <w:rsid w:val="00E108A9"/>
    <w:rsid w:val="00E11071"/>
    <w:rsid w:val="00E1115C"/>
    <w:rsid w:val="00E1132D"/>
    <w:rsid w:val="00E1170E"/>
    <w:rsid w:val="00E1172F"/>
    <w:rsid w:val="00E11FCE"/>
    <w:rsid w:val="00E122F8"/>
    <w:rsid w:val="00E12EA3"/>
    <w:rsid w:val="00E13D41"/>
    <w:rsid w:val="00E144D3"/>
    <w:rsid w:val="00E162CD"/>
    <w:rsid w:val="00E16D63"/>
    <w:rsid w:val="00E170C2"/>
    <w:rsid w:val="00E174D7"/>
    <w:rsid w:val="00E2108E"/>
    <w:rsid w:val="00E22E80"/>
    <w:rsid w:val="00E22ECB"/>
    <w:rsid w:val="00E233B4"/>
    <w:rsid w:val="00E238F1"/>
    <w:rsid w:val="00E24B36"/>
    <w:rsid w:val="00E25E23"/>
    <w:rsid w:val="00E272E6"/>
    <w:rsid w:val="00E2781A"/>
    <w:rsid w:val="00E302E1"/>
    <w:rsid w:val="00E32835"/>
    <w:rsid w:val="00E32ACC"/>
    <w:rsid w:val="00E32EAA"/>
    <w:rsid w:val="00E33766"/>
    <w:rsid w:val="00E33B64"/>
    <w:rsid w:val="00E341D9"/>
    <w:rsid w:val="00E3456E"/>
    <w:rsid w:val="00E35355"/>
    <w:rsid w:val="00E357DD"/>
    <w:rsid w:val="00E36688"/>
    <w:rsid w:val="00E36845"/>
    <w:rsid w:val="00E37530"/>
    <w:rsid w:val="00E37A60"/>
    <w:rsid w:val="00E37FC2"/>
    <w:rsid w:val="00E402DB"/>
    <w:rsid w:val="00E40B1B"/>
    <w:rsid w:val="00E41A90"/>
    <w:rsid w:val="00E444D7"/>
    <w:rsid w:val="00E46BCE"/>
    <w:rsid w:val="00E474DA"/>
    <w:rsid w:val="00E50C41"/>
    <w:rsid w:val="00E52028"/>
    <w:rsid w:val="00E53696"/>
    <w:rsid w:val="00E5454C"/>
    <w:rsid w:val="00E54E45"/>
    <w:rsid w:val="00E55522"/>
    <w:rsid w:val="00E55773"/>
    <w:rsid w:val="00E567C7"/>
    <w:rsid w:val="00E573EB"/>
    <w:rsid w:val="00E57532"/>
    <w:rsid w:val="00E579BE"/>
    <w:rsid w:val="00E57DC6"/>
    <w:rsid w:val="00E60C2A"/>
    <w:rsid w:val="00E61154"/>
    <w:rsid w:val="00E61F98"/>
    <w:rsid w:val="00E637BA"/>
    <w:rsid w:val="00E639CB"/>
    <w:rsid w:val="00E66A44"/>
    <w:rsid w:val="00E676E4"/>
    <w:rsid w:val="00E67B5F"/>
    <w:rsid w:val="00E67E57"/>
    <w:rsid w:val="00E71041"/>
    <w:rsid w:val="00E72E6F"/>
    <w:rsid w:val="00E73DDE"/>
    <w:rsid w:val="00E7421A"/>
    <w:rsid w:val="00E743A5"/>
    <w:rsid w:val="00E753E1"/>
    <w:rsid w:val="00E75592"/>
    <w:rsid w:val="00E76393"/>
    <w:rsid w:val="00E7660C"/>
    <w:rsid w:val="00E76C55"/>
    <w:rsid w:val="00E77BDD"/>
    <w:rsid w:val="00E77DE9"/>
    <w:rsid w:val="00E802DC"/>
    <w:rsid w:val="00E80B47"/>
    <w:rsid w:val="00E8191F"/>
    <w:rsid w:val="00E828A2"/>
    <w:rsid w:val="00E831C8"/>
    <w:rsid w:val="00E832A0"/>
    <w:rsid w:val="00E8365E"/>
    <w:rsid w:val="00E8378B"/>
    <w:rsid w:val="00E83B4B"/>
    <w:rsid w:val="00E83E07"/>
    <w:rsid w:val="00E841B9"/>
    <w:rsid w:val="00E8450C"/>
    <w:rsid w:val="00E84F98"/>
    <w:rsid w:val="00E858DE"/>
    <w:rsid w:val="00E85B51"/>
    <w:rsid w:val="00E879D8"/>
    <w:rsid w:val="00E90D7C"/>
    <w:rsid w:val="00E915F0"/>
    <w:rsid w:val="00E91755"/>
    <w:rsid w:val="00E92488"/>
    <w:rsid w:val="00E9311A"/>
    <w:rsid w:val="00E9520D"/>
    <w:rsid w:val="00E95810"/>
    <w:rsid w:val="00E95819"/>
    <w:rsid w:val="00E9593C"/>
    <w:rsid w:val="00E95ABF"/>
    <w:rsid w:val="00E96224"/>
    <w:rsid w:val="00E964FF"/>
    <w:rsid w:val="00E97A46"/>
    <w:rsid w:val="00E97B69"/>
    <w:rsid w:val="00EA018F"/>
    <w:rsid w:val="00EA0194"/>
    <w:rsid w:val="00EA10C6"/>
    <w:rsid w:val="00EA15A4"/>
    <w:rsid w:val="00EA274E"/>
    <w:rsid w:val="00EA3624"/>
    <w:rsid w:val="00EA38DB"/>
    <w:rsid w:val="00EA44F9"/>
    <w:rsid w:val="00EA497A"/>
    <w:rsid w:val="00EA4981"/>
    <w:rsid w:val="00EA4F86"/>
    <w:rsid w:val="00EA546D"/>
    <w:rsid w:val="00EA602E"/>
    <w:rsid w:val="00EA6A56"/>
    <w:rsid w:val="00EA7017"/>
    <w:rsid w:val="00EB0F65"/>
    <w:rsid w:val="00EB1447"/>
    <w:rsid w:val="00EB370D"/>
    <w:rsid w:val="00EB3B36"/>
    <w:rsid w:val="00EB40C1"/>
    <w:rsid w:val="00EB5E72"/>
    <w:rsid w:val="00EB7B07"/>
    <w:rsid w:val="00EC06CB"/>
    <w:rsid w:val="00EC0FBD"/>
    <w:rsid w:val="00EC1017"/>
    <w:rsid w:val="00EC1268"/>
    <w:rsid w:val="00EC15B8"/>
    <w:rsid w:val="00EC18CD"/>
    <w:rsid w:val="00EC1EC7"/>
    <w:rsid w:val="00EC1F38"/>
    <w:rsid w:val="00EC272F"/>
    <w:rsid w:val="00EC2C79"/>
    <w:rsid w:val="00EC3130"/>
    <w:rsid w:val="00EC3FC4"/>
    <w:rsid w:val="00EC4CC1"/>
    <w:rsid w:val="00EC4E26"/>
    <w:rsid w:val="00EC5A64"/>
    <w:rsid w:val="00EC5EA0"/>
    <w:rsid w:val="00EC60EB"/>
    <w:rsid w:val="00EC7407"/>
    <w:rsid w:val="00ED0439"/>
    <w:rsid w:val="00ED04F0"/>
    <w:rsid w:val="00ED052E"/>
    <w:rsid w:val="00ED1394"/>
    <w:rsid w:val="00ED15B5"/>
    <w:rsid w:val="00ED1854"/>
    <w:rsid w:val="00ED20B6"/>
    <w:rsid w:val="00ED23F4"/>
    <w:rsid w:val="00ED3336"/>
    <w:rsid w:val="00ED456A"/>
    <w:rsid w:val="00ED4AEC"/>
    <w:rsid w:val="00ED5104"/>
    <w:rsid w:val="00ED5594"/>
    <w:rsid w:val="00ED61FB"/>
    <w:rsid w:val="00ED6D24"/>
    <w:rsid w:val="00ED7C27"/>
    <w:rsid w:val="00ED7FC3"/>
    <w:rsid w:val="00EE068A"/>
    <w:rsid w:val="00EE09D9"/>
    <w:rsid w:val="00EE1DC6"/>
    <w:rsid w:val="00EE2105"/>
    <w:rsid w:val="00EE26F7"/>
    <w:rsid w:val="00EE45FB"/>
    <w:rsid w:val="00EE54B6"/>
    <w:rsid w:val="00EE7247"/>
    <w:rsid w:val="00EE78C8"/>
    <w:rsid w:val="00EF014E"/>
    <w:rsid w:val="00EF10A5"/>
    <w:rsid w:val="00EF1470"/>
    <w:rsid w:val="00EF19DC"/>
    <w:rsid w:val="00EF1CD8"/>
    <w:rsid w:val="00EF3380"/>
    <w:rsid w:val="00EF3AAA"/>
    <w:rsid w:val="00EF45FD"/>
    <w:rsid w:val="00EF46DE"/>
    <w:rsid w:val="00EF56F4"/>
    <w:rsid w:val="00EF5AC6"/>
    <w:rsid w:val="00EF6341"/>
    <w:rsid w:val="00EF6BC6"/>
    <w:rsid w:val="00EF7371"/>
    <w:rsid w:val="00F00FBB"/>
    <w:rsid w:val="00F0153C"/>
    <w:rsid w:val="00F027C3"/>
    <w:rsid w:val="00F056A0"/>
    <w:rsid w:val="00F056E6"/>
    <w:rsid w:val="00F05B10"/>
    <w:rsid w:val="00F06930"/>
    <w:rsid w:val="00F078C1"/>
    <w:rsid w:val="00F07D5D"/>
    <w:rsid w:val="00F07FD6"/>
    <w:rsid w:val="00F10745"/>
    <w:rsid w:val="00F10784"/>
    <w:rsid w:val="00F10BC6"/>
    <w:rsid w:val="00F111C2"/>
    <w:rsid w:val="00F12128"/>
    <w:rsid w:val="00F12225"/>
    <w:rsid w:val="00F1339C"/>
    <w:rsid w:val="00F14BB4"/>
    <w:rsid w:val="00F14FB3"/>
    <w:rsid w:val="00F15FE4"/>
    <w:rsid w:val="00F16AB9"/>
    <w:rsid w:val="00F17476"/>
    <w:rsid w:val="00F21571"/>
    <w:rsid w:val="00F21609"/>
    <w:rsid w:val="00F240F3"/>
    <w:rsid w:val="00F24735"/>
    <w:rsid w:val="00F24C78"/>
    <w:rsid w:val="00F26A9F"/>
    <w:rsid w:val="00F26DB3"/>
    <w:rsid w:val="00F26ED3"/>
    <w:rsid w:val="00F275C0"/>
    <w:rsid w:val="00F27667"/>
    <w:rsid w:val="00F31ACD"/>
    <w:rsid w:val="00F31E77"/>
    <w:rsid w:val="00F328C7"/>
    <w:rsid w:val="00F33033"/>
    <w:rsid w:val="00F332B8"/>
    <w:rsid w:val="00F34CCB"/>
    <w:rsid w:val="00F35705"/>
    <w:rsid w:val="00F36466"/>
    <w:rsid w:val="00F36C35"/>
    <w:rsid w:val="00F40F9A"/>
    <w:rsid w:val="00F41918"/>
    <w:rsid w:val="00F42661"/>
    <w:rsid w:val="00F42878"/>
    <w:rsid w:val="00F429D0"/>
    <w:rsid w:val="00F42BA9"/>
    <w:rsid w:val="00F43704"/>
    <w:rsid w:val="00F43DB8"/>
    <w:rsid w:val="00F45397"/>
    <w:rsid w:val="00F4665D"/>
    <w:rsid w:val="00F4667F"/>
    <w:rsid w:val="00F46951"/>
    <w:rsid w:val="00F47488"/>
    <w:rsid w:val="00F507D5"/>
    <w:rsid w:val="00F51C96"/>
    <w:rsid w:val="00F52631"/>
    <w:rsid w:val="00F53D7A"/>
    <w:rsid w:val="00F54BDE"/>
    <w:rsid w:val="00F5500B"/>
    <w:rsid w:val="00F56C3B"/>
    <w:rsid w:val="00F57E91"/>
    <w:rsid w:val="00F60B81"/>
    <w:rsid w:val="00F6161D"/>
    <w:rsid w:val="00F6217E"/>
    <w:rsid w:val="00F62236"/>
    <w:rsid w:val="00F6243C"/>
    <w:rsid w:val="00F627ED"/>
    <w:rsid w:val="00F62B59"/>
    <w:rsid w:val="00F6641C"/>
    <w:rsid w:val="00F674ED"/>
    <w:rsid w:val="00F676E7"/>
    <w:rsid w:val="00F71CB3"/>
    <w:rsid w:val="00F72280"/>
    <w:rsid w:val="00F72300"/>
    <w:rsid w:val="00F73CCF"/>
    <w:rsid w:val="00F7465F"/>
    <w:rsid w:val="00F758EC"/>
    <w:rsid w:val="00F768C4"/>
    <w:rsid w:val="00F823B4"/>
    <w:rsid w:val="00F835CF"/>
    <w:rsid w:val="00F84150"/>
    <w:rsid w:val="00F862E1"/>
    <w:rsid w:val="00F877C4"/>
    <w:rsid w:val="00F87B44"/>
    <w:rsid w:val="00F9073B"/>
    <w:rsid w:val="00F90E84"/>
    <w:rsid w:val="00F9234A"/>
    <w:rsid w:val="00F935C0"/>
    <w:rsid w:val="00F943E8"/>
    <w:rsid w:val="00F94F66"/>
    <w:rsid w:val="00F95B9C"/>
    <w:rsid w:val="00F95DF6"/>
    <w:rsid w:val="00F964A2"/>
    <w:rsid w:val="00F964EC"/>
    <w:rsid w:val="00F96A5C"/>
    <w:rsid w:val="00FA06DC"/>
    <w:rsid w:val="00FA0F8A"/>
    <w:rsid w:val="00FA1233"/>
    <w:rsid w:val="00FA12B3"/>
    <w:rsid w:val="00FA14A6"/>
    <w:rsid w:val="00FA14B5"/>
    <w:rsid w:val="00FA1704"/>
    <w:rsid w:val="00FA30B1"/>
    <w:rsid w:val="00FA404D"/>
    <w:rsid w:val="00FA48FA"/>
    <w:rsid w:val="00FA5609"/>
    <w:rsid w:val="00FA5762"/>
    <w:rsid w:val="00FA5A9E"/>
    <w:rsid w:val="00FA5F39"/>
    <w:rsid w:val="00FA6F1B"/>
    <w:rsid w:val="00FA7558"/>
    <w:rsid w:val="00FA77E3"/>
    <w:rsid w:val="00FB20AC"/>
    <w:rsid w:val="00FB28BC"/>
    <w:rsid w:val="00FB3336"/>
    <w:rsid w:val="00FB4418"/>
    <w:rsid w:val="00FB4490"/>
    <w:rsid w:val="00FB4A79"/>
    <w:rsid w:val="00FB54B2"/>
    <w:rsid w:val="00FB5AA0"/>
    <w:rsid w:val="00FB5C69"/>
    <w:rsid w:val="00FB5D2E"/>
    <w:rsid w:val="00FB7A85"/>
    <w:rsid w:val="00FC0862"/>
    <w:rsid w:val="00FC0F06"/>
    <w:rsid w:val="00FC18BD"/>
    <w:rsid w:val="00FC1A09"/>
    <w:rsid w:val="00FC1DEF"/>
    <w:rsid w:val="00FC2825"/>
    <w:rsid w:val="00FC2844"/>
    <w:rsid w:val="00FC29F8"/>
    <w:rsid w:val="00FC35EC"/>
    <w:rsid w:val="00FC477E"/>
    <w:rsid w:val="00FC5506"/>
    <w:rsid w:val="00FC6CD8"/>
    <w:rsid w:val="00FC78DF"/>
    <w:rsid w:val="00FC7CD1"/>
    <w:rsid w:val="00FD1257"/>
    <w:rsid w:val="00FD17D7"/>
    <w:rsid w:val="00FD18C1"/>
    <w:rsid w:val="00FD2039"/>
    <w:rsid w:val="00FD20A0"/>
    <w:rsid w:val="00FD330B"/>
    <w:rsid w:val="00FD4FD6"/>
    <w:rsid w:val="00FD51D9"/>
    <w:rsid w:val="00FD543E"/>
    <w:rsid w:val="00FD645B"/>
    <w:rsid w:val="00FD68D6"/>
    <w:rsid w:val="00FD75FA"/>
    <w:rsid w:val="00FD7915"/>
    <w:rsid w:val="00FE0059"/>
    <w:rsid w:val="00FE019D"/>
    <w:rsid w:val="00FE04AE"/>
    <w:rsid w:val="00FE33DD"/>
    <w:rsid w:val="00FE3657"/>
    <w:rsid w:val="00FE4BD3"/>
    <w:rsid w:val="00FE4DE7"/>
    <w:rsid w:val="00FE5578"/>
    <w:rsid w:val="00FE678B"/>
    <w:rsid w:val="00FE6BE8"/>
    <w:rsid w:val="00FE6F84"/>
    <w:rsid w:val="00FE7534"/>
    <w:rsid w:val="00FE77FE"/>
    <w:rsid w:val="00FE79C4"/>
    <w:rsid w:val="00FF06E1"/>
    <w:rsid w:val="00FF12E6"/>
    <w:rsid w:val="00FF2481"/>
    <w:rsid w:val="00FF2EEB"/>
    <w:rsid w:val="00FF3ACA"/>
    <w:rsid w:val="00FF41A5"/>
    <w:rsid w:val="00FF5A7C"/>
    <w:rsid w:val="00FF5E82"/>
    <w:rsid w:val="00FF6655"/>
    <w:rsid w:val="00FF6777"/>
    <w:rsid w:val="00FF6BC6"/>
    <w:rsid w:val="00FF75BF"/>
    <w:rsid w:val="00FF761A"/>
    <w:rsid w:val="00FF7BAB"/>
    <w:rsid w:val="015329DC"/>
    <w:rsid w:val="016A2220"/>
    <w:rsid w:val="017B15D3"/>
    <w:rsid w:val="023354BB"/>
    <w:rsid w:val="02501C0D"/>
    <w:rsid w:val="03ED3FAB"/>
    <w:rsid w:val="04D90559"/>
    <w:rsid w:val="05432ABC"/>
    <w:rsid w:val="068E236D"/>
    <w:rsid w:val="08313A99"/>
    <w:rsid w:val="083B4688"/>
    <w:rsid w:val="083C5370"/>
    <w:rsid w:val="09CA42DB"/>
    <w:rsid w:val="09F36AC5"/>
    <w:rsid w:val="0B81156C"/>
    <w:rsid w:val="0C19397A"/>
    <w:rsid w:val="0CBF621B"/>
    <w:rsid w:val="0CC47A5C"/>
    <w:rsid w:val="0D4B343C"/>
    <w:rsid w:val="0D6E60B2"/>
    <w:rsid w:val="0DA57D13"/>
    <w:rsid w:val="0EBC060B"/>
    <w:rsid w:val="0EC77BCB"/>
    <w:rsid w:val="0EDA1F24"/>
    <w:rsid w:val="0F1A2610"/>
    <w:rsid w:val="0F3023A8"/>
    <w:rsid w:val="10930BAF"/>
    <w:rsid w:val="10FA4B91"/>
    <w:rsid w:val="112900AD"/>
    <w:rsid w:val="116B1CC9"/>
    <w:rsid w:val="12107EFE"/>
    <w:rsid w:val="121B06D8"/>
    <w:rsid w:val="14D85993"/>
    <w:rsid w:val="16232614"/>
    <w:rsid w:val="1659289C"/>
    <w:rsid w:val="170A4018"/>
    <w:rsid w:val="17544068"/>
    <w:rsid w:val="194A1149"/>
    <w:rsid w:val="1AF90BA5"/>
    <w:rsid w:val="1BFF57F9"/>
    <w:rsid w:val="1D101DA9"/>
    <w:rsid w:val="1D533029"/>
    <w:rsid w:val="1E075230"/>
    <w:rsid w:val="1E9270A1"/>
    <w:rsid w:val="1F504EBA"/>
    <w:rsid w:val="1F7F8E38"/>
    <w:rsid w:val="1FB72523"/>
    <w:rsid w:val="1FDC5F69"/>
    <w:rsid w:val="20642960"/>
    <w:rsid w:val="21F81A38"/>
    <w:rsid w:val="23AF6A31"/>
    <w:rsid w:val="24481623"/>
    <w:rsid w:val="283B647F"/>
    <w:rsid w:val="28CF9F76"/>
    <w:rsid w:val="2AC22B2B"/>
    <w:rsid w:val="2AE141BD"/>
    <w:rsid w:val="2B322B23"/>
    <w:rsid w:val="2B6752A3"/>
    <w:rsid w:val="2B9F1C79"/>
    <w:rsid w:val="2C5C75E7"/>
    <w:rsid w:val="2CEF40AF"/>
    <w:rsid w:val="2D342EFD"/>
    <w:rsid w:val="2D5456E8"/>
    <w:rsid w:val="2D6A55B3"/>
    <w:rsid w:val="2E056893"/>
    <w:rsid w:val="2E3E01DD"/>
    <w:rsid w:val="2E5C5EA3"/>
    <w:rsid w:val="2E643F95"/>
    <w:rsid w:val="2E662B89"/>
    <w:rsid w:val="2F6F6CD0"/>
    <w:rsid w:val="2FE067F8"/>
    <w:rsid w:val="30F24AC7"/>
    <w:rsid w:val="313C7A8F"/>
    <w:rsid w:val="31FC00ED"/>
    <w:rsid w:val="326E9D78"/>
    <w:rsid w:val="32EFEF33"/>
    <w:rsid w:val="334D5F94"/>
    <w:rsid w:val="33565747"/>
    <w:rsid w:val="339825BB"/>
    <w:rsid w:val="33B37DE4"/>
    <w:rsid w:val="34A44D05"/>
    <w:rsid w:val="353124E6"/>
    <w:rsid w:val="356405DF"/>
    <w:rsid w:val="36694BCC"/>
    <w:rsid w:val="36DFD0D1"/>
    <w:rsid w:val="37AA1F4B"/>
    <w:rsid w:val="380478DC"/>
    <w:rsid w:val="390D2B25"/>
    <w:rsid w:val="395ECA29"/>
    <w:rsid w:val="3A98391B"/>
    <w:rsid w:val="3BB53E82"/>
    <w:rsid w:val="3BD876A3"/>
    <w:rsid w:val="3C695A33"/>
    <w:rsid w:val="3CB46C57"/>
    <w:rsid w:val="3CD4157B"/>
    <w:rsid w:val="3D0E10DA"/>
    <w:rsid w:val="3D6B29E2"/>
    <w:rsid w:val="3D7212A9"/>
    <w:rsid w:val="3D9A2686"/>
    <w:rsid w:val="3DEA226B"/>
    <w:rsid w:val="3E6D5B4E"/>
    <w:rsid w:val="3E757CA1"/>
    <w:rsid w:val="3EDF2145"/>
    <w:rsid w:val="3F9574FB"/>
    <w:rsid w:val="3FBFEFCA"/>
    <w:rsid w:val="3FF7A618"/>
    <w:rsid w:val="3FFE6DA0"/>
    <w:rsid w:val="4198609D"/>
    <w:rsid w:val="42001024"/>
    <w:rsid w:val="431334CA"/>
    <w:rsid w:val="43495C27"/>
    <w:rsid w:val="43B91790"/>
    <w:rsid w:val="450A4C9D"/>
    <w:rsid w:val="45541485"/>
    <w:rsid w:val="45DC5B80"/>
    <w:rsid w:val="463C7062"/>
    <w:rsid w:val="46F521A4"/>
    <w:rsid w:val="476A7312"/>
    <w:rsid w:val="47D31FB2"/>
    <w:rsid w:val="4891402A"/>
    <w:rsid w:val="48DE44BF"/>
    <w:rsid w:val="49A1285D"/>
    <w:rsid w:val="4A9E0899"/>
    <w:rsid w:val="4B1F03BB"/>
    <w:rsid w:val="4B644975"/>
    <w:rsid w:val="4BEB9048"/>
    <w:rsid w:val="4E1946E0"/>
    <w:rsid w:val="4E4BC236"/>
    <w:rsid w:val="4E4FB854"/>
    <w:rsid w:val="4EBC70FA"/>
    <w:rsid w:val="4F635CA6"/>
    <w:rsid w:val="4FBD9A00"/>
    <w:rsid w:val="515652DE"/>
    <w:rsid w:val="526950B5"/>
    <w:rsid w:val="52FF0C38"/>
    <w:rsid w:val="53466839"/>
    <w:rsid w:val="53DF8F82"/>
    <w:rsid w:val="54137FDC"/>
    <w:rsid w:val="54221FE8"/>
    <w:rsid w:val="54D14D24"/>
    <w:rsid w:val="5590470D"/>
    <w:rsid w:val="56424886"/>
    <w:rsid w:val="569505A8"/>
    <w:rsid w:val="56A65612"/>
    <w:rsid w:val="56DD43E8"/>
    <w:rsid w:val="57081422"/>
    <w:rsid w:val="57EF6E43"/>
    <w:rsid w:val="57F53F93"/>
    <w:rsid w:val="5821668D"/>
    <w:rsid w:val="583C516F"/>
    <w:rsid w:val="58D141B4"/>
    <w:rsid w:val="5A146DF7"/>
    <w:rsid w:val="5AEEA627"/>
    <w:rsid w:val="5BF6E351"/>
    <w:rsid w:val="5CDF629F"/>
    <w:rsid w:val="5D511CC4"/>
    <w:rsid w:val="5E144BAE"/>
    <w:rsid w:val="5EEA4517"/>
    <w:rsid w:val="5F332C83"/>
    <w:rsid w:val="5F67A0E8"/>
    <w:rsid w:val="5FB7C96E"/>
    <w:rsid w:val="5FF9F8E4"/>
    <w:rsid w:val="600037AF"/>
    <w:rsid w:val="605A2839"/>
    <w:rsid w:val="60764E5A"/>
    <w:rsid w:val="611E586D"/>
    <w:rsid w:val="61B35692"/>
    <w:rsid w:val="64010633"/>
    <w:rsid w:val="640A0D8D"/>
    <w:rsid w:val="65707EA9"/>
    <w:rsid w:val="65FE792F"/>
    <w:rsid w:val="663E2A91"/>
    <w:rsid w:val="67DFD8CB"/>
    <w:rsid w:val="67EE0D72"/>
    <w:rsid w:val="68AF6FB0"/>
    <w:rsid w:val="69597F5D"/>
    <w:rsid w:val="69954753"/>
    <w:rsid w:val="6A717BA6"/>
    <w:rsid w:val="6AC636A8"/>
    <w:rsid w:val="6ACF6A3A"/>
    <w:rsid w:val="6B5DE07E"/>
    <w:rsid w:val="6BFE7896"/>
    <w:rsid w:val="6CBCC04B"/>
    <w:rsid w:val="6D0D60C0"/>
    <w:rsid w:val="6D7E53DC"/>
    <w:rsid w:val="6F6012F2"/>
    <w:rsid w:val="6FF3D865"/>
    <w:rsid w:val="6FFF45FB"/>
    <w:rsid w:val="716D7753"/>
    <w:rsid w:val="717D2880"/>
    <w:rsid w:val="71F61597"/>
    <w:rsid w:val="735C72C1"/>
    <w:rsid w:val="74053C2D"/>
    <w:rsid w:val="74860E10"/>
    <w:rsid w:val="749D7D92"/>
    <w:rsid w:val="75B4CFF8"/>
    <w:rsid w:val="76B9BF21"/>
    <w:rsid w:val="76DB5176"/>
    <w:rsid w:val="76F17791"/>
    <w:rsid w:val="777EC65B"/>
    <w:rsid w:val="77F9664E"/>
    <w:rsid w:val="796BE89D"/>
    <w:rsid w:val="79BF6786"/>
    <w:rsid w:val="7A352F30"/>
    <w:rsid w:val="7A4571A5"/>
    <w:rsid w:val="7AFDB9E7"/>
    <w:rsid w:val="7B6616D3"/>
    <w:rsid w:val="7B7FB8D5"/>
    <w:rsid w:val="7B885BB4"/>
    <w:rsid w:val="7BA35CB7"/>
    <w:rsid w:val="7C64691A"/>
    <w:rsid w:val="7D9E197A"/>
    <w:rsid w:val="7DE51460"/>
    <w:rsid w:val="7F4F704C"/>
    <w:rsid w:val="7F54657D"/>
    <w:rsid w:val="7F7FF889"/>
    <w:rsid w:val="7F8F508E"/>
    <w:rsid w:val="7F9DB685"/>
    <w:rsid w:val="7FAB13A3"/>
    <w:rsid w:val="7FE52225"/>
    <w:rsid w:val="7FEF1A16"/>
    <w:rsid w:val="7FFDD8F4"/>
    <w:rsid w:val="7FFE0660"/>
    <w:rsid w:val="953C9A69"/>
    <w:rsid w:val="9B1D1529"/>
    <w:rsid w:val="9DFFEA83"/>
    <w:rsid w:val="AFB7E456"/>
    <w:rsid w:val="BDEBB2EF"/>
    <w:rsid w:val="BF86FC1E"/>
    <w:rsid w:val="BFB07CE6"/>
    <w:rsid w:val="BFEC3093"/>
    <w:rsid w:val="BFEF818F"/>
    <w:rsid w:val="BFF775A1"/>
    <w:rsid w:val="C4BD8D04"/>
    <w:rsid w:val="C9EE6E8E"/>
    <w:rsid w:val="CFD79B55"/>
    <w:rsid w:val="D5F9DA82"/>
    <w:rsid w:val="D7BFBA02"/>
    <w:rsid w:val="D7F81AF1"/>
    <w:rsid w:val="D7FB5DEC"/>
    <w:rsid w:val="DF2F400F"/>
    <w:rsid w:val="DF772C81"/>
    <w:rsid w:val="ED76D750"/>
    <w:rsid w:val="ED7FF114"/>
    <w:rsid w:val="EDFF1550"/>
    <w:rsid w:val="EFDFB497"/>
    <w:rsid w:val="F6726778"/>
    <w:rsid w:val="F75D4D4A"/>
    <w:rsid w:val="F9BDA9FB"/>
    <w:rsid w:val="F9E7B680"/>
    <w:rsid w:val="F9FF4CE3"/>
    <w:rsid w:val="FAE16A3A"/>
    <w:rsid w:val="FB17E756"/>
    <w:rsid w:val="FB6D4763"/>
    <w:rsid w:val="FBE76A1E"/>
    <w:rsid w:val="FDD68FFC"/>
    <w:rsid w:val="FDDBDCE1"/>
    <w:rsid w:val="FEFF7038"/>
    <w:rsid w:val="FEFFB52D"/>
    <w:rsid w:val="FF79E7A4"/>
    <w:rsid w:val="FFA79F68"/>
    <w:rsid w:val="FFBF52AC"/>
    <w:rsid w:val="FFDFE179"/>
    <w:rsid w:val="FFF97265"/>
    <w:rsid w:val="FFFFA3EA"/>
    <w:rsid w:val="FFFFD40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link w:val="134"/>
    <w:qFormat/>
    <w:uiPriority w:val="0"/>
    <w:pPr>
      <w:keepNext/>
      <w:outlineLvl w:val="2"/>
    </w:pPr>
    <w:rPr>
      <w:rFonts w:ascii="楷体_GB2312" w:hAnsi="宋体" w:eastAsia="楷体_GB2312"/>
      <w:b/>
      <w:bCs/>
      <w:sz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9">
    <w:name w:val="Default Paragraph Font"/>
    <w:semiHidden/>
    <w:unhideWhenUsed/>
    <w:qFormat/>
    <w:uiPriority w:val="1"/>
  </w:style>
  <w:style w:type="table" w:default="1" w:styleId="3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link w:val="153"/>
    <w:qFormat/>
    <w:uiPriority w:val="0"/>
    <w:pPr>
      <w:widowControl/>
      <w:ind w:firstLine="420"/>
    </w:pPr>
    <w:rPr>
      <w:rFonts w:eastAsia="仿宋_GB2312"/>
      <w:sz w:val="30"/>
      <w:szCs w:val="20"/>
    </w:rPr>
  </w:style>
  <w:style w:type="paragraph" w:styleId="7">
    <w:name w:val="toc 7"/>
    <w:basedOn w:val="1"/>
    <w:next w:val="1"/>
    <w:semiHidden/>
    <w:qFormat/>
    <w:uiPriority w:val="0"/>
    <w:pPr>
      <w:ind w:left="1260"/>
      <w:jc w:val="left"/>
    </w:pPr>
    <w:rPr>
      <w:sz w:val="18"/>
      <w:szCs w:val="18"/>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semiHidden/>
    <w:qFormat/>
    <w:uiPriority w:val="0"/>
    <w:pPr>
      <w:shd w:val="clear" w:color="auto" w:fill="000080"/>
    </w:pPr>
  </w:style>
  <w:style w:type="paragraph" w:styleId="10">
    <w:name w:val="annotation text"/>
    <w:basedOn w:val="1"/>
    <w:link w:val="154"/>
    <w:qFormat/>
    <w:uiPriority w:val="99"/>
    <w:pPr>
      <w:jc w:val="left"/>
    </w:pPr>
    <w:rPr>
      <w:rFonts w:ascii="Calibri" w:hAnsi="Calibri"/>
      <w:szCs w:val="22"/>
    </w:rPr>
  </w:style>
  <w:style w:type="paragraph" w:styleId="11">
    <w:name w:val="Salutation"/>
    <w:basedOn w:val="1"/>
    <w:next w:val="1"/>
    <w:qFormat/>
    <w:uiPriority w:val="0"/>
    <w:pPr>
      <w:widowControl/>
      <w:jc w:val="left"/>
    </w:pPr>
    <w:rPr>
      <w:kern w:val="0"/>
      <w:sz w:val="20"/>
      <w:szCs w:val="20"/>
    </w:rPr>
  </w:style>
  <w:style w:type="paragraph" w:styleId="12">
    <w:name w:val="Body Text 3"/>
    <w:basedOn w:val="1"/>
    <w:qFormat/>
    <w:uiPriority w:val="0"/>
    <w:pPr>
      <w:spacing w:after="120"/>
    </w:pPr>
    <w:rPr>
      <w:sz w:val="16"/>
      <w:szCs w:val="16"/>
    </w:rPr>
  </w:style>
  <w:style w:type="paragraph" w:styleId="13">
    <w:name w:val="Body Text"/>
    <w:basedOn w:val="1"/>
    <w:link w:val="121"/>
    <w:qFormat/>
    <w:uiPriority w:val="0"/>
    <w:rPr>
      <w:sz w:val="24"/>
    </w:rPr>
  </w:style>
  <w:style w:type="paragraph" w:styleId="14">
    <w:name w:val="Body Text Indent"/>
    <w:basedOn w:val="1"/>
    <w:qFormat/>
    <w:uiPriority w:val="0"/>
    <w:pPr>
      <w:ind w:firstLine="570"/>
    </w:pPr>
    <w:rPr>
      <w:rFonts w:ascii="宋体" w:hAnsi="宋体"/>
      <w:sz w:val="28"/>
      <w:szCs w:val="20"/>
    </w:rPr>
  </w:style>
  <w:style w:type="paragraph" w:styleId="15">
    <w:name w:val="toc 5"/>
    <w:basedOn w:val="1"/>
    <w:next w:val="1"/>
    <w:semiHidden/>
    <w:qFormat/>
    <w:uiPriority w:val="0"/>
    <w:pPr>
      <w:ind w:left="840"/>
      <w:jc w:val="left"/>
    </w:pPr>
    <w:rPr>
      <w:sz w:val="18"/>
      <w:szCs w:val="18"/>
    </w:rPr>
  </w:style>
  <w:style w:type="paragraph" w:styleId="16">
    <w:name w:val="toc 3"/>
    <w:basedOn w:val="1"/>
    <w:next w:val="1"/>
    <w:semiHidden/>
    <w:qFormat/>
    <w:uiPriority w:val="0"/>
    <w:pPr>
      <w:ind w:left="420"/>
      <w:jc w:val="left"/>
    </w:pPr>
    <w:rPr>
      <w:i/>
      <w:iCs/>
      <w:sz w:val="20"/>
      <w:szCs w:val="20"/>
    </w:rPr>
  </w:style>
  <w:style w:type="paragraph" w:styleId="17">
    <w:name w:val="Plain Text"/>
    <w:basedOn w:val="1"/>
    <w:link w:val="117"/>
    <w:qFormat/>
    <w:uiPriority w:val="0"/>
    <w:rPr>
      <w:rFonts w:ascii="宋体" w:hAnsi="Courier New" w:cs="Courier New"/>
      <w:szCs w:val="21"/>
    </w:rPr>
  </w:style>
  <w:style w:type="paragraph" w:styleId="18">
    <w:name w:val="toc 8"/>
    <w:basedOn w:val="1"/>
    <w:next w:val="1"/>
    <w:semiHidden/>
    <w:qFormat/>
    <w:uiPriority w:val="0"/>
    <w:pPr>
      <w:ind w:left="1470"/>
      <w:jc w:val="left"/>
    </w:pPr>
    <w:rPr>
      <w:sz w:val="18"/>
      <w:szCs w:val="18"/>
    </w:rPr>
  </w:style>
  <w:style w:type="paragraph" w:styleId="19">
    <w:name w:val="Date"/>
    <w:basedOn w:val="1"/>
    <w:next w:val="1"/>
    <w:qFormat/>
    <w:uiPriority w:val="0"/>
    <w:pPr>
      <w:ind w:left="100" w:leftChars="2500"/>
    </w:pPr>
    <w:rPr>
      <w:rFonts w:ascii="宋体" w:hAnsi="宋体"/>
      <w:b/>
      <w:bCs/>
      <w:color w:val="000000"/>
      <w:sz w:val="36"/>
    </w:rPr>
  </w:style>
  <w:style w:type="paragraph" w:styleId="20">
    <w:name w:val="Body Text Indent 2"/>
    <w:basedOn w:val="1"/>
    <w:qFormat/>
    <w:uiPriority w:val="0"/>
    <w:pPr>
      <w:spacing w:line="400" w:lineRule="exact"/>
      <w:ind w:left="631" w:leftChars="200" w:hanging="211" w:hangingChars="100"/>
    </w:pPr>
    <w:rPr>
      <w:rFonts w:ascii="黑体" w:hAnsi="宋体" w:eastAsia="黑体"/>
      <w:b/>
      <w:bCs/>
      <w:color w:val="000000"/>
    </w:rPr>
  </w:style>
  <w:style w:type="paragraph" w:styleId="21">
    <w:name w:val="Balloon Text"/>
    <w:basedOn w:val="1"/>
    <w:link w:val="114"/>
    <w:qFormat/>
    <w:uiPriority w:val="0"/>
    <w:rPr>
      <w:sz w:val="18"/>
      <w:szCs w:val="18"/>
    </w:rPr>
  </w:style>
  <w:style w:type="paragraph" w:styleId="22">
    <w:name w:val="footer"/>
    <w:basedOn w:val="1"/>
    <w:link w:val="116"/>
    <w:qFormat/>
    <w:uiPriority w:val="99"/>
    <w:pPr>
      <w:tabs>
        <w:tab w:val="center" w:pos="4153"/>
        <w:tab w:val="right" w:pos="8306"/>
      </w:tabs>
      <w:snapToGrid w:val="0"/>
      <w:jc w:val="left"/>
    </w:pPr>
    <w:rPr>
      <w:sz w:val="18"/>
      <w:szCs w:val="18"/>
    </w:rPr>
  </w:style>
  <w:style w:type="paragraph" w:styleId="23">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pPr>
      <w:spacing w:before="120" w:after="120" w:line="400" w:lineRule="exact"/>
      <w:jc w:val="center"/>
    </w:pPr>
    <w:rPr>
      <w:rFonts w:ascii="宋体" w:hAnsi="宋体"/>
      <w:bCs/>
      <w:caps/>
      <w:color w:val="0000FF"/>
      <w:szCs w:val="21"/>
    </w:rPr>
  </w:style>
  <w:style w:type="paragraph" w:styleId="25">
    <w:name w:val="toc 4"/>
    <w:basedOn w:val="1"/>
    <w:next w:val="1"/>
    <w:semiHidden/>
    <w:qFormat/>
    <w:uiPriority w:val="0"/>
    <w:pPr>
      <w:ind w:left="630"/>
      <w:jc w:val="left"/>
    </w:pPr>
    <w:rPr>
      <w:sz w:val="18"/>
      <w:szCs w:val="18"/>
    </w:rPr>
  </w:style>
  <w:style w:type="paragraph" w:styleId="26">
    <w:name w:val="index heading"/>
    <w:basedOn w:val="1"/>
    <w:next w:val="27"/>
    <w:semiHidden/>
    <w:qFormat/>
    <w:uiPriority w:val="0"/>
    <w:rPr>
      <w:szCs w:val="20"/>
    </w:rPr>
  </w:style>
  <w:style w:type="paragraph" w:styleId="27">
    <w:name w:val="index 1"/>
    <w:basedOn w:val="1"/>
    <w:next w:val="1"/>
    <w:semiHidden/>
    <w:qFormat/>
    <w:uiPriority w:val="0"/>
  </w:style>
  <w:style w:type="paragraph" w:styleId="28">
    <w:name w:val="toc 6"/>
    <w:basedOn w:val="1"/>
    <w:next w:val="1"/>
    <w:semiHidden/>
    <w:qFormat/>
    <w:uiPriority w:val="0"/>
    <w:pPr>
      <w:ind w:left="1050"/>
      <w:jc w:val="left"/>
    </w:pPr>
    <w:rPr>
      <w:sz w:val="18"/>
      <w:szCs w:val="18"/>
    </w:rPr>
  </w:style>
  <w:style w:type="paragraph" w:styleId="29">
    <w:name w:val="Body Text Indent 3"/>
    <w:basedOn w:val="1"/>
    <w:qFormat/>
    <w:uiPriority w:val="0"/>
    <w:pPr>
      <w:spacing w:line="360" w:lineRule="auto"/>
      <w:ind w:left="1260" w:leftChars="600"/>
    </w:pPr>
    <w:rPr>
      <w:rFonts w:ascii="宋体" w:hAnsi="宋体"/>
      <w:b/>
      <w:bCs/>
      <w:sz w:val="24"/>
    </w:rPr>
  </w:style>
  <w:style w:type="paragraph" w:styleId="30">
    <w:name w:val="toc 2"/>
    <w:basedOn w:val="1"/>
    <w:next w:val="1"/>
    <w:semiHidden/>
    <w:qFormat/>
    <w:uiPriority w:val="0"/>
    <w:pPr>
      <w:ind w:left="210"/>
      <w:jc w:val="left"/>
    </w:pPr>
    <w:rPr>
      <w:smallCaps/>
      <w:sz w:val="20"/>
      <w:szCs w:val="20"/>
    </w:rPr>
  </w:style>
  <w:style w:type="paragraph" w:styleId="31">
    <w:name w:val="toc 9"/>
    <w:basedOn w:val="1"/>
    <w:next w:val="1"/>
    <w:semiHidden/>
    <w:qFormat/>
    <w:uiPriority w:val="0"/>
    <w:pPr>
      <w:ind w:left="1680"/>
      <w:jc w:val="left"/>
    </w:pPr>
    <w:rPr>
      <w:sz w:val="18"/>
      <w:szCs w:val="18"/>
    </w:rPr>
  </w:style>
  <w:style w:type="paragraph" w:styleId="32">
    <w:name w:val="Body Text 2"/>
    <w:basedOn w:val="1"/>
    <w:link w:val="148"/>
    <w:qFormat/>
    <w:uiPriority w:val="0"/>
    <w:pPr>
      <w:spacing w:after="120" w:line="480" w:lineRule="auto"/>
    </w:pPr>
  </w:style>
  <w:style w:type="paragraph" w:styleId="33">
    <w:name w:val="Normal (Web)"/>
    <w:basedOn w:val="1"/>
    <w:qFormat/>
    <w:uiPriority w:val="0"/>
    <w:pPr>
      <w:widowControl/>
      <w:spacing w:before="100" w:beforeAutospacing="1" w:after="100" w:afterAutospacing="1"/>
      <w:jc w:val="left"/>
    </w:pPr>
    <w:rPr>
      <w:rFonts w:ascii="宋体" w:hAnsi="宋体"/>
      <w:kern w:val="0"/>
      <w:sz w:val="24"/>
    </w:rPr>
  </w:style>
  <w:style w:type="paragraph" w:styleId="34">
    <w:name w:val="Title"/>
    <w:basedOn w:val="1"/>
    <w:qFormat/>
    <w:uiPriority w:val="0"/>
    <w:pPr>
      <w:spacing w:before="240" w:after="60"/>
      <w:jc w:val="center"/>
      <w:outlineLvl w:val="0"/>
    </w:pPr>
    <w:rPr>
      <w:rFonts w:ascii="Arial" w:hAnsi="Arial" w:cs="Arial"/>
      <w:b/>
      <w:bCs/>
      <w:sz w:val="32"/>
      <w:szCs w:val="32"/>
    </w:rPr>
  </w:style>
  <w:style w:type="paragraph" w:styleId="35">
    <w:name w:val="annotation subject"/>
    <w:basedOn w:val="10"/>
    <w:next w:val="10"/>
    <w:semiHidden/>
    <w:qFormat/>
    <w:uiPriority w:val="0"/>
    <w:rPr>
      <w:b/>
      <w:bCs/>
    </w:rPr>
  </w:style>
  <w:style w:type="paragraph" w:styleId="36">
    <w:name w:val="Body Text First Indent"/>
    <w:basedOn w:val="13"/>
    <w:qFormat/>
    <w:uiPriority w:val="0"/>
    <w:pPr>
      <w:spacing w:after="120"/>
      <w:ind w:firstLine="420" w:firstLineChars="100"/>
    </w:pPr>
    <w:rPr>
      <w:sz w:val="21"/>
    </w:r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0"/>
    <w:rPr>
      <w:b/>
      <w:bCs/>
    </w:rPr>
  </w:style>
  <w:style w:type="character" w:styleId="41">
    <w:name w:val="page number"/>
    <w:basedOn w:val="39"/>
    <w:qFormat/>
    <w:uiPriority w:val="0"/>
  </w:style>
  <w:style w:type="character" w:styleId="42">
    <w:name w:val="FollowedHyperlink"/>
    <w:qFormat/>
    <w:uiPriority w:val="0"/>
    <w:rPr>
      <w:color w:val="800080"/>
      <w:u w:val="single"/>
    </w:rPr>
  </w:style>
  <w:style w:type="character" w:styleId="43">
    <w:name w:val="Hyperlink"/>
    <w:qFormat/>
    <w:uiPriority w:val="0"/>
    <w:rPr>
      <w:color w:val="0000FF"/>
      <w:u w:val="single"/>
    </w:rPr>
  </w:style>
  <w:style w:type="character" w:styleId="44">
    <w:name w:val="annotation reference"/>
    <w:qFormat/>
    <w:uiPriority w:val="99"/>
    <w:rPr>
      <w:sz w:val="21"/>
      <w:szCs w:val="21"/>
    </w:rPr>
  </w:style>
  <w:style w:type="paragraph" w:customStyle="1" w:styleId="45">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46">
    <w:name w:val="题注5"/>
    <w:basedOn w:val="1"/>
    <w:next w:val="8"/>
    <w:qFormat/>
    <w:uiPriority w:val="0"/>
    <w:pPr>
      <w:jc w:val="center"/>
    </w:pPr>
    <w:rPr>
      <w:b/>
      <w:color w:val="000000"/>
      <w:sz w:val="24"/>
      <w:szCs w:val="21"/>
    </w:rPr>
  </w:style>
  <w:style w:type="paragraph" w:customStyle="1" w:styleId="47">
    <w:name w:val="Char Char Char"/>
    <w:basedOn w:val="1"/>
    <w:qFormat/>
    <w:uiPriority w:val="0"/>
    <w:rPr>
      <w:rFonts w:ascii="宋体" w:hAnsi="宋体"/>
      <w:b/>
      <w:sz w:val="28"/>
      <w:szCs w:val="28"/>
    </w:rPr>
  </w:style>
  <w:style w:type="paragraph" w:customStyle="1" w:styleId="4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9">
    <w:name w:val="Char Char Char Char Char Char Char"/>
    <w:basedOn w:val="1"/>
    <w:qFormat/>
    <w:uiPriority w:val="0"/>
    <w:pPr>
      <w:tabs>
        <w:tab w:val="left" w:pos="425"/>
      </w:tabs>
      <w:ind w:left="425" w:hanging="425"/>
    </w:pPr>
    <w:rPr>
      <w:rFonts w:eastAsia="仿宋_GB2312"/>
      <w:kern w:val="24"/>
      <w:sz w:val="24"/>
    </w:rPr>
  </w:style>
  <w:style w:type="paragraph" w:customStyle="1" w:styleId="50">
    <w:name w:val="正文缩进2格"/>
    <w:basedOn w:val="1"/>
    <w:link w:val="130"/>
    <w:qFormat/>
    <w:uiPriority w:val="0"/>
    <w:pPr>
      <w:spacing w:after="120" w:line="600" w:lineRule="exact"/>
      <w:ind w:firstLine="639" w:firstLineChars="206"/>
    </w:pPr>
    <w:rPr>
      <w:rFonts w:ascii="仿宋_GB2312" w:hAnsi="宋体" w:eastAsia="仿宋_GB2312"/>
      <w:sz w:val="31"/>
      <w:szCs w:val="28"/>
    </w:rPr>
  </w:style>
  <w:style w:type="paragraph" w:customStyle="1" w:styleId="5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5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53">
    <w:name w:val="题注4"/>
    <w:basedOn w:val="1"/>
    <w:next w:val="8"/>
    <w:qFormat/>
    <w:uiPriority w:val="0"/>
    <w:pPr>
      <w:ind w:left="-132" w:leftChars="-64" w:right="-105" w:rightChars="-50" w:hanging="2"/>
      <w:jc w:val="center"/>
    </w:pPr>
    <w:rPr>
      <w:b/>
      <w:color w:val="FF0000"/>
      <w:szCs w:val="21"/>
      <w:lang w:val="en-GB"/>
    </w:rPr>
  </w:style>
  <w:style w:type="paragraph" w:customStyle="1" w:styleId="54">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55">
    <w:name w:val="Char Char Char Char Char Char Char Char Char Char"/>
    <w:basedOn w:val="1"/>
    <w:qFormat/>
    <w:uiPriority w:val="0"/>
    <w:rPr>
      <w:rFonts w:ascii="Tahoma" w:hAnsi="Tahoma"/>
      <w:sz w:val="24"/>
      <w:szCs w:val="20"/>
    </w:rPr>
  </w:style>
  <w:style w:type="paragraph" w:customStyle="1" w:styleId="56">
    <w:name w:val="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7">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5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59">
    <w:name w:val="Char Char1 Char"/>
    <w:basedOn w:val="1"/>
    <w:qFormat/>
    <w:uiPriority w:val="0"/>
    <w:rPr>
      <w:rFonts w:ascii="Tahoma" w:hAnsi="Tahoma"/>
      <w:sz w:val="24"/>
      <w:szCs w:val="20"/>
    </w:rPr>
  </w:style>
  <w:style w:type="paragraph" w:customStyle="1" w:styleId="60">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1">
    <w:name w:val="Char11"/>
    <w:basedOn w:val="1"/>
    <w:qFormat/>
    <w:uiPriority w:val="0"/>
    <w:pPr>
      <w:adjustRightInd w:val="0"/>
      <w:spacing w:line="360" w:lineRule="auto"/>
    </w:pPr>
    <w:rPr>
      <w:kern w:val="0"/>
      <w:sz w:val="24"/>
      <w:szCs w:val="20"/>
    </w:rPr>
  </w:style>
  <w:style w:type="paragraph" w:customStyle="1" w:styleId="62">
    <w:name w:val="Char Char2"/>
    <w:basedOn w:val="1"/>
    <w:qFormat/>
    <w:uiPriority w:val="0"/>
    <w:rPr>
      <w:rFonts w:ascii="宋体" w:hAnsi="宋体"/>
      <w:b/>
      <w:sz w:val="28"/>
      <w:szCs w:val="28"/>
    </w:rPr>
  </w:style>
  <w:style w:type="paragraph" w:customStyle="1" w:styleId="63">
    <w:name w:val="无间距"/>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1"/>
    <w:basedOn w:val="1"/>
    <w:next w:val="17"/>
    <w:qFormat/>
    <w:uiPriority w:val="0"/>
    <w:rPr>
      <w:rFonts w:ascii="宋体" w:hAnsi="Courier New"/>
      <w:szCs w:val="20"/>
    </w:rPr>
  </w:style>
  <w:style w:type="paragraph" w:customStyle="1" w:styleId="6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66">
    <w:name w:val="font7"/>
    <w:basedOn w:val="1"/>
    <w:qFormat/>
    <w:uiPriority w:val="0"/>
    <w:pPr>
      <w:widowControl/>
      <w:spacing w:before="100" w:beforeAutospacing="1" w:after="100" w:afterAutospacing="1"/>
      <w:jc w:val="left"/>
    </w:pPr>
    <w:rPr>
      <w:rFonts w:ascii="Arial" w:hAnsi="Arial" w:cs="Arial"/>
      <w:kern w:val="0"/>
      <w:sz w:val="28"/>
      <w:szCs w:val="28"/>
    </w:rPr>
  </w:style>
  <w:style w:type="paragraph" w:customStyle="1" w:styleId="67">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69">
    <w:name w:val="head"/>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70">
    <w:name w:val="Char Char21"/>
    <w:basedOn w:val="1"/>
    <w:qFormat/>
    <w:uiPriority w:val="0"/>
    <w:rPr>
      <w:rFonts w:ascii="宋体" w:hAnsi="宋体"/>
      <w:b/>
      <w:sz w:val="28"/>
      <w:szCs w:val="28"/>
    </w:rPr>
  </w:style>
  <w:style w:type="paragraph" w:customStyle="1" w:styleId="71">
    <w:name w:val="保留正文"/>
    <w:basedOn w:val="13"/>
    <w:qFormat/>
    <w:uiPriority w:val="0"/>
    <w:pPr>
      <w:keepNext/>
      <w:spacing w:after="160"/>
    </w:pPr>
    <w:rPr>
      <w:sz w:val="21"/>
    </w:rPr>
  </w:style>
  <w:style w:type="paragraph" w:customStyle="1" w:styleId="72">
    <w:name w:val="正文 + 宋体"/>
    <w:basedOn w:val="1"/>
    <w:qFormat/>
    <w:uiPriority w:val="0"/>
    <w:pPr>
      <w:snapToGrid w:val="0"/>
      <w:spacing w:line="360" w:lineRule="auto"/>
      <w:ind w:left="630" w:leftChars="100" w:hanging="420" w:hangingChars="200"/>
    </w:pPr>
    <w:rPr>
      <w:rFonts w:ascii="宋体" w:hAnsi="宋体"/>
      <w:color w:val="000000"/>
    </w:rPr>
  </w:style>
  <w:style w:type="paragraph" w:customStyle="1" w:styleId="73">
    <w:name w:val="默认段落字体 Para Char"/>
    <w:basedOn w:val="1"/>
    <w:qFormat/>
    <w:uiPriority w:val="0"/>
    <w:rPr>
      <w:rFonts w:ascii="宋体" w:hAnsi="宋体"/>
      <w:b/>
      <w:sz w:val="28"/>
      <w:szCs w:val="28"/>
    </w:rPr>
  </w:style>
  <w:style w:type="paragraph" w:customStyle="1" w:styleId="74">
    <w:name w:val="List Paragraph1"/>
    <w:basedOn w:val="1"/>
    <w:qFormat/>
    <w:uiPriority w:val="0"/>
    <w:pPr>
      <w:ind w:firstLine="420" w:firstLineChars="200"/>
    </w:pPr>
    <w:rPr>
      <w:rFonts w:ascii="Calibri" w:hAnsi="Calibri"/>
      <w:szCs w:val="22"/>
    </w:rPr>
  </w:style>
  <w:style w:type="paragraph" w:customStyle="1" w:styleId="7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
    <w:name w:val="Char Char Char Char Char Char Char1"/>
    <w:basedOn w:val="1"/>
    <w:qFormat/>
    <w:uiPriority w:val="0"/>
    <w:pPr>
      <w:tabs>
        <w:tab w:val="left" w:pos="425"/>
      </w:tabs>
      <w:ind w:left="425" w:hanging="425"/>
    </w:pPr>
    <w:rPr>
      <w:rFonts w:eastAsia="仿宋_GB2312"/>
      <w:kern w:val="24"/>
      <w:sz w:val="24"/>
    </w:rPr>
  </w:style>
  <w:style w:type="paragraph" w:customStyle="1" w:styleId="77">
    <w:name w:val="列出段落1"/>
    <w:basedOn w:val="1"/>
    <w:qFormat/>
    <w:uiPriority w:val="0"/>
    <w:pPr>
      <w:ind w:firstLine="420" w:firstLineChars="200"/>
    </w:pPr>
    <w:rPr>
      <w:rFonts w:ascii="Calibri" w:hAnsi="Calibri"/>
      <w:szCs w:val="22"/>
    </w:rPr>
  </w:style>
  <w:style w:type="paragraph" w:customStyle="1" w:styleId="7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79">
    <w:name w:val="列出段落2"/>
    <w:basedOn w:val="1"/>
    <w:qFormat/>
    <w:uiPriority w:val="0"/>
    <w:pPr>
      <w:ind w:firstLine="420" w:firstLineChars="200"/>
    </w:pPr>
    <w:rPr>
      <w:rFonts w:ascii="Calibri" w:hAnsi="Calibri"/>
      <w:szCs w:val="22"/>
    </w:rPr>
  </w:style>
  <w:style w:type="paragraph" w:customStyle="1" w:styleId="80">
    <w:name w:val="Char Char2 Char"/>
    <w:basedOn w:val="1"/>
    <w:qFormat/>
    <w:uiPriority w:val="0"/>
    <w:rPr>
      <w:rFonts w:ascii="宋体" w:hAnsi="宋体"/>
      <w:b/>
      <w:sz w:val="28"/>
      <w:szCs w:val="28"/>
    </w:rPr>
  </w:style>
  <w:style w:type="paragraph" w:customStyle="1" w:styleId="81">
    <w:name w:val="p0"/>
    <w:basedOn w:val="1"/>
    <w:qFormat/>
    <w:uiPriority w:val="0"/>
    <w:pPr>
      <w:widowControl/>
    </w:pPr>
    <w:rPr>
      <w:kern w:val="0"/>
      <w:szCs w:val="21"/>
    </w:rPr>
  </w:style>
  <w:style w:type="paragraph" w:customStyle="1" w:styleId="8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3">
    <w:name w:val="pa-2"/>
    <w:basedOn w:val="1"/>
    <w:qFormat/>
    <w:uiPriority w:val="0"/>
    <w:pPr>
      <w:widowControl/>
      <w:spacing w:before="100" w:beforeAutospacing="1" w:after="100" w:afterAutospacing="1"/>
      <w:jc w:val="left"/>
    </w:pPr>
    <w:rPr>
      <w:rFonts w:ascii="宋体" w:hAnsi="宋体" w:cs="宋体"/>
      <w:kern w:val="0"/>
      <w:sz w:val="24"/>
    </w:rPr>
  </w:style>
  <w:style w:type="paragraph" w:customStyle="1" w:styleId="84">
    <w:name w:val="Char Char2 Char1"/>
    <w:basedOn w:val="1"/>
    <w:qFormat/>
    <w:uiPriority w:val="0"/>
    <w:rPr>
      <w:rFonts w:ascii="宋体" w:hAnsi="宋体"/>
      <w:b/>
      <w:sz w:val="28"/>
      <w:szCs w:val="28"/>
    </w:rPr>
  </w:style>
  <w:style w:type="paragraph" w:customStyle="1" w:styleId="85">
    <w:name w:val="_Style 84"/>
    <w:unhideWhenUsed/>
    <w:qFormat/>
    <w:uiPriority w:val="99"/>
    <w:rPr>
      <w:rFonts w:ascii="Times New Roman" w:hAnsi="Times New Roman" w:eastAsia="宋体" w:cs="Times New Roman"/>
      <w:kern w:val="2"/>
      <w:sz w:val="21"/>
      <w:szCs w:val="24"/>
      <w:lang w:val="en-US" w:eastAsia="zh-CN" w:bidi="ar-SA"/>
    </w:rPr>
  </w:style>
  <w:style w:type="paragraph" w:customStyle="1" w:styleId="86">
    <w:name w:val="表格"/>
    <w:basedOn w:val="1"/>
    <w:qFormat/>
    <w:uiPriority w:val="0"/>
    <w:pPr>
      <w:spacing w:line="420" w:lineRule="exact"/>
      <w:ind w:left="84" w:leftChars="40"/>
      <w:jc w:val="center"/>
    </w:pPr>
    <w:rPr>
      <w:rFonts w:ascii="宋体" w:hAnsi="宋体"/>
      <w:bCs/>
      <w:spacing w:val="-12"/>
    </w:rPr>
  </w:style>
  <w:style w:type="paragraph" w:customStyle="1" w:styleId="8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89">
    <w:name w:val="Char Char2 Char Char"/>
    <w:basedOn w:val="1"/>
    <w:qFormat/>
    <w:uiPriority w:val="0"/>
    <w:pPr>
      <w:widowControl/>
      <w:spacing w:after="160" w:line="240" w:lineRule="exact"/>
      <w:jc w:val="left"/>
    </w:pPr>
  </w:style>
  <w:style w:type="paragraph" w:customStyle="1" w:styleId="90">
    <w:name w:val="Char Char2 Char Char1"/>
    <w:basedOn w:val="1"/>
    <w:qFormat/>
    <w:uiPriority w:val="0"/>
    <w:pPr>
      <w:widowControl/>
      <w:spacing w:after="160" w:line="240" w:lineRule="exact"/>
      <w:jc w:val="left"/>
    </w:pPr>
  </w:style>
  <w:style w:type="paragraph" w:customStyle="1" w:styleId="91">
    <w:name w:val="pa-3"/>
    <w:basedOn w:val="1"/>
    <w:qFormat/>
    <w:uiPriority w:val="0"/>
    <w:pPr>
      <w:widowControl/>
      <w:spacing w:before="100" w:beforeAutospacing="1" w:after="100" w:afterAutospacing="1"/>
      <w:jc w:val="left"/>
    </w:pPr>
    <w:rPr>
      <w:rFonts w:ascii="宋体" w:hAnsi="宋体" w:cs="宋体"/>
      <w:kern w:val="0"/>
      <w:sz w:val="24"/>
    </w:rPr>
  </w:style>
  <w:style w:type="paragraph" w:customStyle="1" w:styleId="92">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默认段落字体 Para Char Char Char Char"/>
    <w:basedOn w:val="1"/>
    <w:qFormat/>
    <w:uiPriority w:val="0"/>
  </w:style>
  <w:style w:type="paragraph" w:customStyle="1" w:styleId="9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kern w:val="0"/>
      <w:sz w:val="20"/>
      <w:szCs w:val="20"/>
    </w:rPr>
  </w:style>
  <w:style w:type="paragraph" w:customStyle="1" w:styleId="95">
    <w:name w:val="样式3"/>
    <w:basedOn w:val="17"/>
    <w:qFormat/>
    <w:uiPriority w:val="0"/>
    <w:pPr>
      <w:spacing w:line="0" w:lineRule="atLeast"/>
      <w:outlineLvl w:val="0"/>
    </w:pPr>
    <w:rPr>
      <w:rFonts w:cs="Times New Roman"/>
      <w:sz w:val="28"/>
      <w:szCs w:val="20"/>
    </w:rPr>
  </w:style>
  <w:style w:type="paragraph" w:customStyle="1" w:styleId="96">
    <w:name w:val="Char Char1 Char1"/>
    <w:basedOn w:val="1"/>
    <w:qFormat/>
    <w:uiPriority w:val="0"/>
    <w:rPr>
      <w:rFonts w:ascii="Tahoma" w:hAnsi="Tahoma"/>
      <w:sz w:val="24"/>
      <w:szCs w:val="20"/>
    </w:rPr>
  </w:style>
  <w:style w:type="paragraph" w:customStyle="1" w:styleId="97">
    <w:name w:val="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98">
    <w:name w:val="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99">
    <w:name w:val="办公自动化专用标题"/>
    <w:basedOn w:val="34"/>
    <w:qFormat/>
    <w:uiPriority w:val="0"/>
    <w:pPr>
      <w:spacing w:line="560" w:lineRule="atLeast"/>
    </w:pPr>
    <w:rPr>
      <w:rFonts w:ascii="宋体" w:cs="Times New Roman"/>
      <w:bCs w:val="0"/>
      <w:sz w:val="44"/>
      <w:szCs w:val="20"/>
    </w:rPr>
  </w:style>
  <w:style w:type="paragraph" w:customStyle="1" w:styleId="10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1"/>
    <w:basedOn w:val="1"/>
    <w:qFormat/>
    <w:uiPriority w:val="0"/>
    <w:rPr>
      <w:rFonts w:ascii="宋体" w:hAnsi="宋体"/>
      <w:b/>
      <w:sz w:val="28"/>
      <w:szCs w:val="28"/>
    </w:rPr>
  </w:style>
  <w:style w:type="paragraph" w:customStyle="1" w:styleId="102">
    <w:name w:val="表格文字"/>
    <w:basedOn w:val="1"/>
    <w:qFormat/>
    <w:uiPriority w:val="0"/>
    <w:pPr>
      <w:spacing w:before="25" w:after="25"/>
      <w:jc w:val="left"/>
    </w:pPr>
    <w:rPr>
      <w:bCs/>
      <w:spacing w:val="10"/>
      <w:kern w:val="0"/>
      <w:sz w:val="24"/>
      <w:szCs w:val="20"/>
    </w:rPr>
  </w:style>
  <w:style w:type="paragraph" w:customStyle="1" w:styleId="10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105">
    <w:name w:val="Char1"/>
    <w:basedOn w:val="1"/>
    <w:qFormat/>
    <w:uiPriority w:val="0"/>
    <w:pPr>
      <w:widowControl/>
      <w:spacing w:line="400" w:lineRule="exact"/>
      <w:jc w:val="center"/>
    </w:pPr>
    <w:rPr>
      <w:rFonts w:ascii="Verdana" w:hAnsi="Verdana"/>
      <w:kern w:val="0"/>
      <w:szCs w:val="20"/>
      <w:lang w:eastAsia="en-US"/>
    </w:rPr>
  </w:style>
  <w:style w:type="paragraph" w:customStyle="1" w:styleId="106">
    <w:name w:val="Char12"/>
    <w:basedOn w:val="1"/>
    <w:qFormat/>
    <w:uiPriority w:val="0"/>
    <w:pPr>
      <w:widowControl/>
      <w:spacing w:line="400" w:lineRule="exact"/>
      <w:jc w:val="center"/>
    </w:pPr>
    <w:rPr>
      <w:rFonts w:ascii="Verdana" w:hAnsi="Verdana"/>
      <w:kern w:val="0"/>
      <w:szCs w:val="20"/>
      <w:lang w:eastAsia="en-US"/>
    </w:rPr>
  </w:style>
  <w:style w:type="paragraph" w:styleId="107">
    <w:name w:val="List Paragraph"/>
    <w:basedOn w:val="1"/>
    <w:qFormat/>
    <w:uiPriority w:val="34"/>
    <w:pPr>
      <w:widowControl/>
      <w:ind w:firstLine="420" w:firstLineChars="200"/>
      <w:jc w:val="left"/>
    </w:pPr>
    <w:rPr>
      <w:kern w:val="0"/>
      <w:sz w:val="20"/>
      <w:szCs w:val="20"/>
    </w:rPr>
  </w:style>
  <w:style w:type="paragraph" w:customStyle="1" w:styleId="108">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09">
    <w:name w:val="Char Char Char Char Char Char Char Char Char1"/>
    <w:basedOn w:val="1"/>
    <w:qFormat/>
    <w:uiPriority w:val="0"/>
    <w:pPr>
      <w:widowControl/>
      <w:spacing w:line="400" w:lineRule="exact"/>
      <w:jc w:val="center"/>
    </w:pPr>
    <w:rPr>
      <w:rFonts w:ascii="Verdana" w:hAnsi="Verdana"/>
      <w:kern w:val="0"/>
      <w:szCs w:val="20"/>
      <w:lang w:eastAsia="en-US"/>
    </w:rPr>
  </w:style>
  <w:style w:type="character" w:customStyle="1" w:styleId="110">
    <w:name w:val="style11"/>
    <w:qFormat/>
    <w:uiPriority w:val="0"/>
    <w:rPr>
      <w:rFonts w:hint="default" w:ascii="Arial" w:hAnsi="Arial" w:cs="Arial"/>
    </w:rPr>
  </w:style>
  <w:style w:type="character" w:customStyle="1" w:styleId="111">
    <w:name w:val="ca-2"/>
    <w:basedOn w:val="39"/>
    <w:qFormat/>
    <w:uiPriority w:val="0"/>
  </w:style>
  <w:style w:type="character" w:customStyle="1" w:styleId="112">
    <w:name w:val="ca-6"/>
    <w:basedOn w:val="39"/>
    <w:qFormat/>
    <w:uiPriority w:val="0"/>
  </w:style>
  <w:style w:type="character" w:customStyle="1" w:styleId="113">
    <w:name w:val="b-121"/>
    <w:qFormat/>
    <w:uiPriority w:val="0"/>
    <w:rPr>
      <w:rFonts w:hint="default" w:ascii="_x000B__x000C_" w:hAnsi="_x000B__x000C_"/>
      <w:sz w:val="18"/>
      <w:szCs w:val="18"/>
      <w:u w:val="none"/>
    </w:rPr>
  </w:style>
  <w:style w:type="character" w:customStyle="1" w:styleId="114">
    <w:name w:val="批注框文本 字符"/>
    <w:link w:val="21"/>
    <w:qFormat/>
    <w:uiPriority w:val="0"/>
    <w:rPr>
      <w:kern w:val="2"/>
      <w:sz w:val="18"/>
      <w:szCs w:val="18"/>
    </w:rPr>
  </w:style>
  <w:style w:type="character" w:customStyle="1" w:styleId="115">
    <w:name w:val="apple-converted-space"/>
    <w:basedOn w:val="39"/>
    <w:qFormat/>
    <w:uiPriority w:val="0"/>
  </w:style>
  <w:style w:type="character" w:customStyle="1" w:styleId="116">
    <w:name w:val="页脚 字符"/>
    <w:link w:val="22"/>
    <w:qFormat/>
    <w:uiPriority w:val="99"/>
    <w:rPr>
      <w:rFonts w:eastAsia="宋体"/>
      <w:kern w:val="2"/>
      <w:sz w:val="18"/>
      <w:szCs w:val="18"/>
      <w:lang w:val="en-US" w:eastAsia="zh-CN" w:bidi="ar-SA"/>
    </w:rPr>
  </w:style>
  <w:style w:type="character" w:customStyle="1" w:styleId="117">
    <w:name w:val="纯文本 字符"/>
    <w:link w:val="17"/>
    <w:qFormat/>
    <w:uiPriority w:val="0"/>
    <w:rPr>
      <w:rFonts w:ascii="宋体" w:hAnsi="Courier New" w:eastAsia="宋体" w:cs="Courier New"/>
      <w:kern w:val="2"/>
      <w:sz w:val="21"/>
      <w:szCs w:val="21"/>
      <w:lang w:val="en-US" w:eastAsia="zh-CN" w:bidi="ar-SA"/>
    </w:rPr>
  </w:style>
  <w:style w:type="character" w:customStyle="1" w:styleId="118">
    <w:name w:val="普通文字 Char1"/>
    <w:qFormat/>
    <w:uiPriority w:val="0"/>
    <w:rPr>
      <w:rFonts w:ascii="宋体" w:hAnsi="Courier New" w:eastAsia="宋体"/>
      <w:kern w:val="2"/>
      <w:sz w:val="21"/>
      <w:lang w:val="en-US" w:eastAsia="zh-CN" w:bidi="ar-SA"/>
    </w:rPr>
  </w:style>
  <w:style w:type="character" w:customStyle="1" w:styleId="119">
    <w:name w:val="批注文字 Char"/>
    <w:qFormat/>
    <w:uiPriority w:val="99"/>
    <w:rPr>
      <w:kern w:val="2"/>
      <w:sz w:val="21"/>
      <w:szCs w:val="24"/>
    </w:rPr>
  </w:style>
  <w:style w:type="character" w:customStyle="1" w:styleId="120">
    <w:name w:val="Char Char3"/>
    <w:qFormat/>
    <w:uiPriority w:val="0"/>
    <w:rPr>
      <w:rFonts w:eastAsia="宋体"/>
      <w:kern w:val="2"/>
      <w:sz w:val="18"/>
      <w:szCs w:val="18"/>
      <w:lang w:val="en-US" w:eastAsia="zh-CN" w:bidi="ar-SA"/>
    </w:rPr>
  </w:style>
  <w:style w:type="character" w:customStyle="1" w:styleId="121">
    <w:name w:val="正文文本 字符"/>
    <w:link w:val="13"/>
    <w:qFormat/>
    <w:uiPriority w:val="0"/>
    <w:rPr>
      <w:kern w:val="2"/>
      <w:sz w:val="24"/>
      <w:szCs w:val="24"/>
    </w:rPr>
  </w:style>
  <w:style w:type="character" w:customStyle="1" w:styleId="122">
    <w:name w:val="ca-3"/>
    <w:basedOn w:val="39"/>
    <w:qFormat/>
    <w:uiPriority w:val="0"/>
  </w:style>
  <w:style w:type="character" w:customStyle="1" w:styleId="123">
    <w:name w:val="正文缩进 Char"/>
    <w:qFormat/>
    <w:uiPriority w:val="0"/>
    <w:rPr>
      <w:rFonts w:eastAsia="仿宋_GB2312"/>
      <w:kern w:val="2"/>
      <w:sz w:val="30"/>
      <w:lang w:val="en-US" w:eastAsia="zh-CN" w:bidi="ar-SA"/>
    </w:rPr>
  </w:style>
  <w:style w:type="character" w:customStyle="1" w:styleId="124">
    <w:name w:val="标题 2 Char"/>
    <w:qFormat/>
    <w:uiPriority w:val="0"/>
    <w:rPr>
      <w:rFonts w:ascii="Arial" w:hAnsi="Arial" w:eastAsia="黑体"/>
      <w:b/>
      <w:bCs/>
      <w:kern w:val="2"/>
      <w:sz w:val="32"/>
      <w:szCs w:val="32"/>
      <w:lang w:val="en-US" w:eastAsia="zh-CN" w:bidi="ar-SA"/>
    </w:rPr>
  </w:style>
  <w:style w:type="character" w:customStyle="1" w:styleId="125">
    <w:name w:val="kleintab1"/>
    <w:qFormat/>
    <w:uiPriority w:val="0"/>
    <w:rPr>
      <w:color w:val="999999"/>
      <w:sz w:val="9"/>
      <w:szCs w:val="9"/>
    </w:rPr>
  </w:style>
  <w:style w:type="character" w:customStyle="1" w:styleId="126">
    <w:name w:val="ca-1"/>
    <w:basedOn w:val="39"/>
    <w:qFormat/>
    <w:uiPriority w:val="0"/>
  </w:style>
  <w:style w:type="character" w:customStyle="1" w:styleId="127">
    <w:name w:val="14"/>
    <w:basedOn w:val="39"/>
    <w:qFormat/>
    <w:uiPriority w:val="0"/>
  </w:style>
  <w:style w:type="character" w:customStyle="1" w:styleId="128">
    <w:name w:val="表正文 Char"/>
    <w:qFormat/>
    <w:uiPriority w:val="0"/>
    <w:rPr>
      <w:rFonts w:eastAsia="仿宋_GB2312"/>
      <w:kern w:val="2"/>
      <w:sz w:val="30"/>
      <w:lang w:val="en-US" w:eastAsia="zh-CN" w:bidi="ar-SA"/>
    </w:rPr>
  </w:style>
  <w:style w:type="character" w:customStyle="1" w:styleId="129">
    <w:name w:val="ca-0"/>
    <w:basedOn w:val="39"/>
    <w:qFormat/>
    <w:uiPriority w:val="0"/>
  </w:style>
  <w:style w:type="character" w:customStyle="1" w:styleId="130">
    <w:name w:val="正文缩进2格 Char"/>
    <w:link w:val="50"/>
    <w:qFormat/>
    <w:uiPriority w:val="0"/>
    <w:rPr>
      <w:rFonts w:ascii="仿宋_GB2312" w:hAnsi="宋体" w:eastAsia="仿宋_GB2312"/>
      <w:kern w:val="2"/>
      <w:sz w:val="31"/>
      <w:szCs w:val="28"/>
    </w:rPr>
  </w:style>
  <w:style w:type="character" w:customStyle="1" w:styleId="131">
    <w:name w:val="ca-9"/>
    <w:basedOn w:val="39"/>
    <w:qFormat/>
    <w:uiPriority w:val="0"/>
  </w:style>
  <w:style w:type="character" w:customStyle="1" w:styleId="132">
    <w:name w:val="ca-5"/>
    <w:basedOn w:val="39"/>
    <w:qFormat/>
    <w:uiPriority w:val="0"/>
  </w:style>
  <w:style w:type="character" w:customStyle="1" w:styleId="133">
    <w:name w:val="ca-10"/>
    <w:basedOn w:val="39"/>
    <w:qFormat/>
    <w:uiPriority w:val="0"/>
  </w:style>
  <w:style w:type="character" w:customStyle="1" w:styleId="134">
    <w:name w:val="标题 3 字符"/>
    <w:link w:val="4"/>
    <w:qFormat/>
    <w:uiPriority w:val="0"/>
    <w:rPr>
      <w:rFonts w:ascii="楷体_GB2312" w:hAnsi="宋体" w:eastAsia="楷体_GB2312"/>
      <w:b/>
      <w:bCs/>
      <w:kern w:val="2"/>
      <w:sz w:val="32"/>
      <w:szCs w:val="24"/>
      <w:lang w:val="en-US" w:eastAsia="zh-CN" w:bidi="ar-SA"/>
    </w:rPr>
  </w:style>
  <w:style w:type="character" w:customStyle="1" w:styleId="135">
    <w:name w:val="p141"/>
    <w:qFormat/>
    <w:uiPriority w:val="0"/>
    <w:rPr>
      <w:sz w:val="21"/>
      <w:szCs w:val="21"/>
    </w:rPr>
  </w:style>
  <w:style w:type="character" w:customStyle="1" w:styleId="136">
    <w:name w:val="fontstyle01"/>
    <w:qFormat/>
    <w:uiPriority w:val="0"/>
    <w:rPr>
      <w:rFonts w:hint="eastAsia" w:ascii="宋体" w:hAnsi="宋体" w:eastAsia="宋体"/>
      <w:color w:val="000000"/>
      <w:sz w:val="24"/>
      <w:szCs w:val="24"/>
    </w:rPr>
  </w:style>
  <w:style w:type="character" w:customStyle="1" w:styleId="137">
    <w:name w:val="Char Char31"/>
    <w:qFormat/>
    <w:uiPriority w:val="0"/>
    <w:rPr>
      <w:rFonts w:eastAsia="宋体"/>
      <w:kern w:val="2"/>
      <w:sz w:val="18"/>
      <w:szCs w:val="18"/>
      <w:lang w:val="en-US" w:eastAsia="zh-CN" w:bidi="ar-SA"/>
    </w:rPr>
  </w:style>
  <w:style w:type="character" w:customStyle="1" w:styleId="138">
    <w:name w:val="ca-7"/>
    <w:basedOn w:val="39"/>
    <w:qFormat/>
    <w:uiPriority w:val="0"/>
  </w:style>
  <w:style w:type="paragraph" w:customStyle="1" w:styleId="139">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1">
    <w:name w:val="ca-12"/>
    <w:qFormat/>
    <w:uiPriority w:val="99"/>
    <w:rPr>
      <w:rFonts w:eastAsia="宋体" w:cs="Times New Roman"/>
      <w:kern w:val="2"/>
      <w:sz w:val="24"/>
      <w:szCs w:val="24"/>
      <w:lang w:val="en-US" w:eastAsia="zh-CN" w:bidi="ar-SA"/>
    </w:rPr>
  </w:style>
  <w:style w:type="paragraph" w:customStyle="1" w:styleId="14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43">
    <w:name w:val="页眉 字符"/>
    <w:basedOn w:val="39"/>
    <w:link w:val="23"/>
    <w:qFormat/>
    <w:uiPriority w:val="99"/>
    <w:rPr>
      <w:kern w:val="2"/>
      <w:sz w:val="18"/>
      <w:szCs w:val="18"/>
    </w:rPr>
  </w:style>
  <w:style w:type="character" w:customStyle="1" w:styleId="144">
    <w:name w:val="纯文本 Char1"/>
    <w:qFormat/>
    <w:uiPriority w:val="0"/>
    <w:rPr>
      <w:rFonts w:ascii="宋体" w:hAnsi="Courier New"/>
      <w:kern w:val="2"/>
      <w:sz w:val="21"/>
      <w:szCs w:val="21"/>
      <w:lang w:val="zh-CN" w:eastAsia="zh-CN"/>
    </w:rPr>
  </w:style>
  <w:style w:type="paragraph" w:customStyle="1" w:styleId="145">
    <w:name w:val="样式1"/>
    <w:basedOn w:val="1"/>
    <w:link w:val="146"/>
    <w:qFormat/>
    <w:uiPriority w:val="0"/>
    <w:pPr>
      <w:numPr>
        <w:ilvl w:val="0"/>
        <w:numId w:val="1"/>
      </w:numPr>
      <w:spacing w:line="312" w:lineRule="auto"/>
      <w:jc w:val="center"/>
      <w:outlineLvl w:val="0"/>
    </w:pPr>
    <w:rPr>
      <w:rFonts w:asciiTheme="minorEastAsia" w:hAnsiTheme="minorEastAsia" w:eastAsiaTheme="minorEastAsia"/>
      <w:b/>
      <w:sz w:val="32"/>
    </w:rPr>
  </w:style>
  <w:style w:type="character" w:customStyle="1" w:styleId="146">
    <w:name w:val="样式1 字符"/>
    <w:basedOn w:val="39"/>
    <w:link w:val="145"/>
    <w:qFormat/>
    <w:uiPriority w:val="0"/>
    <w:rPr>
      <w:rFonts w:asciiTheme="minorEastAsia" w:hAnsiTheme="minorEastAsia" w:eastAsiaTheme="minorEastAsia"/>
      <w:b/>
      <w:kern w:val="2"/>
      <w:sz w:val="32"/>
      <w:szCs w:val="24"/>
    </w:rPr>
  </w:style>
  <w:style w:type="paragraph" w:customStyle="1" w:styleId="147">
    <w:name w:val="_Style 3"/>
    <w:basedOn w:val="1"/>
    <w:next w:val="29"/>
    <w:qFormat/>
    <w:uiPriority w:val="0"/>
    <w:pPr>
      <w:ind w:firstLine="420" w:firstLineChars="200"/>
    </w:pPr>
    <w:rPr>
      <w:rFonts w:ascii="Cambria" w:hAnsi="Cambria"/>
      <w:sz w:val="20"/>
    </w:rPr>
  </w:style>
  <w:style w:type="character" w:customStyle="1" w:styleId="148">
    <w:name w:val="正文文本 2 字符"/>
    <w:basedOn w:val="39"/>
    <w:link w:val="32"/>
    <w:qFormat/>
    <w:uiPriority w:val="0"/>
    <w:rPr>
      <w:kern w:val="2"/>
      <w:sz w:val="21"/>
      <w:szCs w:val="24"/>
    </w:rPr>
  </w:style>
  <w:style w:type="paragraph" w:customStyle="1" w:styleId="149">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0">
    <w:name w:val="标题 3_0"/>
    <w:basedOn w:val="151"/>
    <w:next w:val="152"/>
    <w:qFormat/>
    <w:uiPriority w:val="0"/>
    <w:pPr>
      <w:widowControl w:val="0"/>
      <w:numPr>
        <w:ilvl w:val="2"/>
        <w:numId w:val="2"/>
      </w:numPr>
      <w:tabs>
        <w:tab w:val="left" w:pos="720"/>
        <w:tab w:val="left" w:pos="851"/>
      </w:tabs>
      <w:autoSpaceDE w:val="0"/>
      <w:autoSpaceDN w:val="0"/>
      <w:adjustRightInd w:val="0"/>
      <w:snapToGrid w:val="0"/>
      <w:spacing w:line="360" w:lineRule="auto"/>
      <w:jc w:val="both"/>
      <w:outlineLvl w:val="2"/>
    </w:pPr>
    <w:rPr>
      <w:rFonts w:ascii="宋体"/>
    </w:rPr>
  </w:style>
  <w:style w:type="paragraph" w:customStyle="1" w:styleId="151">
    <w:name w:val="正文_0_0"/>
    <w:qFormat/>
    <w:uiPriority w:val="0"/>
    <w:rPr>
      <w:rFonts w:ascii="Times New Roman" w:hAnsi="Times New Roman" w:eastAsia="宋体" w:cs="Times New Roman"/>
      <w:sz w:val="21"/>
      <w:lang w:val="en-US" w:eastAsia="zh-CN" w:bidi="ar-SA"/>
    </w:rPr>
  </w:style>
  <w:style w:type="paragraph" w:customStyle="1" w:styleId="152">
    <w:name w:val="正文缩进_0"/>
    <w:basedOn w:val="151"/>
    <w:qFormat/>
    <w:uiPriority w:val="0"/>
    <w:pPr>
      <w:ind w:firstLine="420"/>
    </w:pPr>
  </w:style>
  <w:style w:type="character" w:customStyle="1" w:styleId="153">
    <w:name w:val="正文缩进 字符"/>
    <w:basedOn w:val="39"/>
    <w:link w:val="5"/>
    <w:qFormat/>
    <w:uiPriority w:val="0"/>
    <w:rPr>
      <w:rFonts w:hint="default" w:ascii="Times New Roman" w:hAnsi="Times New Roman" w:eastAsia="宋体" w:cs="Times New Roman"/>
      <w:kern w:val="2"/>
      <w:sz w:val="21"/>
      <w:szCs w:val="24"/>
    </w:rPr>
  </w:style>
  <w:style w:type="character" w:customStyle="1" w:styleId="154">
    <w:name w:val="批注文字 字符"/>
    <w:basedOn w:val="39"/>
    <w:link w:val="10"/>
    <w:qFormat/>
    <w:uiPriority w:val="0"/>
    <w:rPr>
      <w:rFonts w:hint="default" w:ascii="Times New Roman" w:hAnsi="Times New Roman" w:cs="Times New Roman"/>
      <w:kern w:val="2"/>
      <w:sz w:val="21"/>
      <w:szCs w:val="22"/>
    </w:rPr>
  </w:style>
  <w:style w:type="character" w:customStyle="1" w:styleId="155">
    <w:name w:val="fontstyle21"/>
    <w:qFormat/>
    <w:uiPriority w:val="0"/>
    <w:rPr>
      <w:rFonts w:hint="eastAsia" w:ascii="等线" w:hAnsi="等线" w:eastAsia="等线"/>
      <w:color w:val="000000"/>
      <w:sz w:val="22"/>
      <w:szCs w:val="22"/>
    </w:rPr>
  </w:style>
  <w:style w:type="paragraph" w:customStyle="1" w:styleId="156">
    <w:name w:val="正文样式"/>
    <w:qFormat/>
    <w:uiPriority w:val="0"/>
    <w:pPr>
      <w:widowControl w:val="0"/>
      <w:spacing w:line="300" w:lineRule="auto"/>
      <w:ind w:firstLine="200" w:firstLineChars="200"/>
      <w:jc w:val="both"/>
    </w:pPr>
    <w:rPr>
      <w:rFonts w:ascii="Calibri" w:hAnsi="Calibri" w:eastAsia="宋体" w:cs="Calibri"/>
      <w:kern w:val="2"/>
      <w:sz w:val="24"/>
      <w:lang w:val="en-US" w:eastAsia="zh-CN" w:bidi="ar-SA"/>
    </w:rPr>
  </w:style>
  <w:style w:type="paragraph" w:customStyle="1" w:styleId="157">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58">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159">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10D2B9-1AC1-40DB-8617-379328E87EDF}">
  <ds:schemaRefs/>
</ds:datastoreItem>
</file>

<file path=docProps/app.xml><?xml version="1.0" encoding="utf-8"?>
<Properties xmlns="http://schemas.openxmlformats.org/officeDocument/2006/extended-properties" xmlns:vt="http://schemas.openxmlformats.org/officeDocument/2006/docPropsVTypes">
  <Company>Microsoft China</Company>
  <Pages>44</Pages>
  <Words>3132</Words>
  <Characters>3412</Characters>
  <Lines>147</Lines>
  <Paragraphs>41</Paragraphs>
  <TotalTime>17</TotalTime>
  <ScaleCrop>false</ScaleCrop>
  <LinksUpToDate>false</LinksUpToDate>
  <CharactersWithSpaces>3436</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2026-05-09T07:14:00Z</dcterms:created>
  <dc:creator>USER</dc:creator>
  <cp:lastModifiedBy>黄敏君</cp:lastModifiedBy>
  <cp:lastPrinted>2020-08-21T06:49:00Z</cp:lastPrinted>
  <dcterms:modified xsi:type="dcterms:W3CDTF">2026-05-29T15:21:14Z</dcterms:modified>
  <dc:title>委托单位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CD08AA5B0C424669AC0194B940EC9A6E_13</vt:lpwstr>
  </property>
  <property fmtid="{D5CDD505-2E9C-101B-9397-08002B2CF9AE}" pid="4" name="KSOTemplateDocerSaveRecord">
    <vt:lpwstr>eyJoZGlkIjoiOTEzZmU1OGUyZmUyNDgyMmQ5NGI5ZTA4NWNjZGRiYjciLCJ1c2VySWQiOiIxNTY1NDIxODU0In0=</vt:lpwstr>
  </property>
  <property fmtid="{D5CDD505-2E9C-101B-9397-08002B2CF9AE}" pid="5" name="woTemplateTypoMode" linkTarget="0">
    <vt:lpwstr>web</vt:lpwstr>
  </property>
  <property fmtid="{D5CDD505-2E9C-101B-9397-08002B2CF9AE}" pid="6" name="woTemplate" linkTarget="0">
    <vt:i4>1</vt:i4>
  </property>
</Properties>
</file>