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sz w:val="24"/>
          <w:szCs w:val="24"/>
        </w:rPr>
      </w:pPr>
      <w:bookmarkStart w:id="0" w:name="_GoBack"/>
      <w:bookmarkEnd w:id="0"/>
    </w:p>
    <w:p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广州医科大学附属番禺中心医院防雷检测服务采购项目</w:t>
      </w:r>
    </w:p>
    <w:p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用户需求</w:t>
      </w:r>
    </w:p>
    <w:p>
      <w:pPr>
        <w:pStyle w:val="3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一、项目概况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广州医科大学附属番禺中心医院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为2009年建成投入使用</w:t>
      </w:r>
      <w:r>
        <w:rPr>
          <w:rFonts w:hint="eastAsia" w:ascii="宋体" w:hAnsi="宋体" w:cs="宋体"/>
          <w:sz w:val="24"/>
          <w:szCs w:val="24"/>
        </w:rPr>
        <w:t>，占地14.7万平方米，总建筑面积23.5万平方米。现需要采购一家符合资质的公司为我院建筑物进行防雷检测服务。本次防雷检测建筑物包括门诊楼、医技楼及住院部1号楼、住院部2号楼、住院部3号楼、高压氧楼、8号集体宿舍楼、污水处理站（综合站及传染性站）、门卫（1号门及3号门）、门卫及警务室、电房、液氧站。</w:t>
      </w:r>
    </w:p>
    <w:p>
      <w:pPr>
        <w:numPr>
          <w:ilvl w:val="0"/>
          <w:numId w:val="1"/>
        </w:num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资质要求</w:t>
      </w:r>
    </w:p>
    <w:p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宋体" w:hAnsi="宋体" w:cs="宋体"/>
          <w:sz w:val="24"/>
          <w:szCs w:val="24"/>
        </w:rPr>
        <w:t xml:space="preserve"> 投标人应为在中华人民共和国内注册的合法单位，营业执照、税务登记证、组织机构代码（或三证合一）在有效期内，提供有效的营业执照</w:t>
      </w:r>
      <w:r>
        <w:rPr>
          <w:rFonts w:hint="eastAsia" w:ascii="宋体" w:hAnsi="宋体" w:cs="宋体"/>
          <w:sz w:val="24"/>
          <w:szCs w:val="24"/>
        </w:rPr>
        <w:t>（扫描件盖公章）</w:t>
      </w:r>
      <w:r>
        <w:rPr>
          <w:rFonts w:ascii="宋体" w:hAnsi="宋体" w:cs="宋体"/>
          <w:sz w:val="24"/>
          <w:szCs w:val="24"/>
        </w:rPr>
        <w:t>；</w:t>
      </w:r>
    </w:p>
    <w:p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t>、</w:t>
      </w:r>
      <w:r>
        <w:rPr>
          <w:rFonts w:ascii="宋体" w:hAnsi="宋体" w:cs="宋体"/>
          <w:sz w:val="24"/>
          <w:szCs w:val="24"/>
        </w:rPr>
        <w:t>投标截止日前未列入失信被执行人、重大税收违法失信主体、政府采购严重</w:t>
      </w:r>
      <w:r>
        <w:rPr>
          <w:rFonts w:hint="eastAsia" w:ascii="宋体" w:hAnsi="宋体" w:cs="宋体"/>
          <w:sz w:val="24"/>
          <w:szCs w:val="24"/>
        </w:rPr>
        <w:t>违法失信名单。</w:t>
      </w:r>
    </w:p>
    <w:p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3、供应商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具</w:t>
      </w:r>
      <w:r>
        <w:rPr>
          <w:rFonts w:ascii="宋体" w:hAnsi="宋体" w:cs="宋体"/>
          <w:sz w:val="24"/>
          <w:szCs w:val="24"/>
        </w:rPr>
        <w:t>有雷电防护装置检测资质；提供资质证书复印件，</w:t>
      </w:r>
      <w:r>
        <w:rPr>
          <w:rFonts w:hint="eastAsia" w:ascii="宋体" w:hAnsi="宋体" w:cs="宋体"/>
          <w:sz w:val="24"/>
          <w:szCs w:val="24"/>
        </w:rPr>
        <w:t>同步</w:t>
      </w:r>
      <w:r>
        <w:rPr>
          <w:rFonts w:ascii="宋体" w:hAnsi="宋体" w:cs="宋体"/>
          <w:sz w:val="24"/>
          <w:szCs w:val="24"/>
        </w:rPr>
        <w:t>附气象局官方公示截图备查。</w:t>
      </w:r>
    </w:p>
    <w:p>
      <w:pPr>
        <w:spacing w:line="360" w:lineRule="auto"/>
        <w:ind w:firstLine="240" w:firstLineChars="1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4、自2024年1月1日至今，</w:t>
      </w:r>
      <w:r>
        <w:rPr>
          <w:rFonts w:ascii="宋体" w:hAnsi="宋体" w:cs="宋体"/>
          <w:sz w:val="24"/>
          <w:szCs w:val="24"/>
        </w:rPr>
        <w:t>具有大型公共建筑防雷检测类似业绩（提供合同关键页、检测报告样本）。</w:t>
      </w:r>
    </w:p>
    <w:p>
      <w:pPr>
        <w:pStyle w:val="3"/>
        <w:numPr>
          <w:ilvl w:val="0"/>
          <w:numId w:val="2"/>
        </w:num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报价范围</w:t>
      </w:r>
    </w:p>
    <w:p>
      <w:pPr>
        <w:spacing w:line="360" w:lineRule="auto"/>
        <w:ind w:firstLine="480" w:firstLineChars="200"/>
      </w:pPr>
      <w:r>
        <w:rPr>
          <w:rFonts w:hint="eastAsia" w:ascii="宋体" w:hAnsi="宋体" w:cs="宋体"/>
          <w:sz w:val="24"/>
          <w:szCs w:val="24"/>
        </w:rPr>
        <w:t>按相关要求开展防雷检测服务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本项目报价</w:t>
      </w:r>
      <w:r>
        <w:rPr>
          <w:rFonts w:hint="eastAsia" w:ascii="宋体" w:hAnsi="宋体" w:cs="宋体"/>
          <w:sz w:val="24"/>
          <w:szCs w:val="24"/>
        </w:rPr>
        <w:t>包含的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人工、</w:t>
      </w:r>
      <w:r>
        <w:rPr>
          <w:rFonts w:hint="eastAsia" w:ascii="宋体" w:hAnsi="宋体" w:cs="宋体"/>
          <w:sz w:val="24"/>
          <w:szCs w:val="24"/>
        </w:rPr>
        <w:t>服务费、设备设施费、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检测费、资料编制、售后答疑、</w:t>
      </w:r>
      <w:r>
        <w:rPr>
          <w:rFonts w:hint="eastAsia" w:ascii="宋体" w:hAnsi="宋体" w:cs="宋体"/>
          <w:sz w:val="24"/>
          <w:szCs w:val="24"/>
        </w:rPr>
        <w:t>差旅费、税费等费用。</w:t>
      </w:r>
    </w:p>
    <w:p/>
    <w:p>
      <w:pPr>
        <w:pStyle w:val="3"/>
        <w:numPr>
          <w:ilvl w:val="0"/>
          <w:numId w:val="2"/>
        </w:num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本项目不接受联合体投标、分包或转包</w:t>
      </w:r>
    </w:p>
    <w:p>
      <w:pPr>
        <w:pStyle w:val="3"/>
        <w:numPr>
          <w:ilvl w:val="0"/>
          <w:numId w:val="2"/>
        </w:num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技术要求</w:t>
      </w:r>
    </w:p>
    <w:p>
      <w:pPr>
        <w:pStyle w:val="3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（一）防雷检测清单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详见附件《广州医科大学附属番禺中心医院防雷检测清单》</w:t>
      </w:r>
    </w:p>
    <w:p>
      <w:pPr>
        <w:pStyle w:val="3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（二）检测依据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 《建筑物雷电防护装置检测技术规范》GB/T21431-2023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 《接地系统的土壤电阻率、接地阻抗和地面电位测量导则第1部分常规测量》 GB/T17949.1-2000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 《建筑物防雷设计规范》GB50057-2010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4、 《建筑物电子信息系统防雷技术规范》GB50343-2012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5、 《建筑物防雷工程施工与质量验收规范》GB50601-2015</w:t>
      </w:r>
    </w:p>
    <w:p>
      <w:pPr>
        <w:pStyle w:val="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（三）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服务要求</w:t>
      </w:r>
    </w:p>
    <w:p>
      <w:pPr>
        <w:pStyle w:val="6"/>
        <w:spacing w:before="0" w:after="0" w:line="360" w:lineRule="auto"/>
        <w:ind w:firstLine="480" w:firstLineChars="200"/>
        <w:rPr>
          <w:rFonts w:hint="eastAsia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供应商提供</w:t>
      </w:r>
      <w:r>
        <w:rPr>
          <w:rFonts w:hint="eastAsia" w:cs="宋体"/>
          <w:sz w:val="24"/>
          <w:szCs w:val="24"/>
          <w:lang w:val="en-US" w:eastAsia="zh-CN"/>
        </w:rPr>
        <w:t>服务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方案</w:t>
      </w:r>
      <w:r>
        <w:rPr>
          <w:rFonts w:hint="eastAsia" w:cs="宋体"/>
          <w:sz w:val="24"/>
          <w:szCs w:val="24"/>
          <w:lang w:val="en-US" w:eastAsia="zh-CN"/>
        </w:rPr>
        <w:t>，包含检测方案、检测设备、服务团队、</w:t>
      </w:r>
      <w:r>
        <w:rPr>
          <w:rFonts w:hint="eastAsia" w:cs="宋体"/>
          <w:szCs w:val="24"/>
        </w:rPr>
        <w:t>应急预案</w:t>
      </w:r>
      <w:r>
        <w:rPr>
          <w:rFonts w:hint="eastAsia" w:cs="宋体"/>
          <w:szCs w:val="24"/>
          <w:lang w:eastAsia="zh-CN"/>
        </w:rPr>
        <w:t>（</w:t>
      </w:r>
      <w:r>
        <w:rPr>
          <w:rFonts w:hint="eastAsia" w:cs="宋体"/>
          <w:szCs w:val="24"/>
          <w:lang w:val="en-US" w:eastAsia="zh-CN"/>
        </w:rPr>
        <w:t>含</w:t>
      </w:r>
      <w:r>
        <w:rPr>
          <w:rFonts w:hint="eastAsia" w:cs="宋体"/>
          <w:szCs w:val="24"/>
        </w:rPr>
        <w:t>高空坠落、触电、中暑、意外伤害</w:t>
      </w:r>
      <w:r>
        <w:rPr>
          <w:rFonts w:hint="eastAsia" w:cs="宋体"/>
          <w:szCs w:val="24"/>
          <w:lang w:val="en-US" w:eastAsia="zh-CN"/>
        </w:rPr>
        <w:t>等</w:t>
      </w:r>
      <w:r>
        <w:rPr>
          <w:rFonts w:hint="eastAsia" w:cs="宋体"/>
          <w:szCs w:val="24"/>
        </w:rPr>
        <w:t>应急事件处置</w:t>
      </w:r>
      <w:r>
        <w:rPr>
          <w:rFonts w:hint="eastAsia" w:cs="宋体"/>
          <w:szCs w:val="24"/>
          <w:lang w:eastAsia="zh-CN"/>
        </w:rPr>
        <w:t>）</w:t>
      </w:r>
      <w:r>
        <w:rPr>
          <w:rFonts w:hint="eastAsia" w:cs="宋体"/>
          <w:szCs w:val="24"/>
          <w:lang w:val="en-US" w:eastAsia="zh-CN"/>
        </w:rPr>
        <w:t>等。</w:t>
      </w:r>
    </w:p>
    <w:p>
      <w:pPr>
        <w:pStyle w:val="6"/>
        <w:spacing w:before="0" w:after="0" w:line="360" w:lineRule="auto"/>
        <w:ind w:firstLine="480" w:firstLineChars="200"/>
        <w:rPr>
          <w:rFonts w:hint="eastAsia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2、外部防雷装置检测：全覆盖检测各楼栋屋面接闪杆、接闪带、接闪网，核查完好性、连接牢固度、敷设规格；检测建筑外墙、楼梯间、管道井所有防雷引下线、断接卡，核查布设合规性、导通性能及防腐状况；检测建筑物接地装置，实测接地电阻等核心参数。</w:t>
      </w:r>
    </w:p>
    <w:p>
      <w:pPr>
        <w:pStyle w:val="6"/>
        <w:spacing w:before="0" w:after="0" w:line="360" w:lineRule="auto"/>
        <w:ind w:firstLine="480" w:firstLineChars="200"/>
        <w:rPr>
          <w:rFonts w:hint="eastAsia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3、内部防雷装置检测：检测建筑均压环、金属门窗、屋面金属设备、管道等构筑物等电位连接情况；全面核查配电房、机房、手术室、供氧区域、消防控制室、监控室等重点区域的等电位端子、跨接接地装置，确保连接合规、导通正常。</w:t>
      </w:r>
    </w:p>
    <w:p>
      <w:pPr>
        <w:pStyle w:val="6"/>
        <w:spacing w:before="0" w:after="0" w:line="360" w:lineRule="auto"/>
        <w:ind w:firstLine="480" w:firstLineChars="200"/>
        <w:rPr>
          <w:rFonts w:hint="eastAsia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4、浪涌保护器（SPD）专项检测：对全院高低压配电系统、弱电系统、网络机房、监控系统的浪涌保护器进行全面检测，核查型号规格、安装位置、运行状态、残压及漏电参数，排查失效、老化、错装等隐患。</w:t>
      </w:r>
    </w:p>
    <w:p>
      <w:pPr>
        <w:pStyle w:val="6"/>
        <w:spacing w:before="0" w:after="0" w:line="360" w:lineRule="auto"/>
        <w:ind w:firstLine="480" w:firstLineChars="200"/>
        <w:rPr>
          <w:rFonts w:hint="eastAsia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5、现场勘查与隐患排查：全程留存真实完整的原始检测数据与现场记录，严禁数据篡改、点位漏检。检测过程中同步排查各类防雷安全隐患，区分隐患风险等级，现场书面告知采购人问题点位及安全风险。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6、现场规范作业：作业全过程遵守医院管理制度，做好安全防护，保护院区设施设备，规避干扰正常诊疗秩序，作业垃圾自行清理清运，杜绝违规施工、转包外包等行为。</w:t>
      </w:r>
    </w:p>
    <w:p>
      <w:pPr>
        <w:pStyle w:val="6"/>
        <w:spacing w:before="0" w:after="0" w:line="360" w:lineRule="auto"/>
        <w:ind w:firstLine="480" w:firstLineChars="200"/>
        <w:rPr>
          <w:rFonts w:hint="eastAsia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7、成果交付与资料编制：服务期限内完成全部检测工作，出具合法合规、签章齐全的正式防雷检测报告，包含项目概况、检测依据、全部检测点位、实测数据、合规判定、隐患清单及标准化整改建议，报告可通过气象、应急、消防等主管部门核查。</w:t>
      </w:r>
    </w:p>
    <w:p>
      <w:pPr>
        <w:pStyle w:val="4"/>
        <w:numPr>
          <w:ilvl w:val="0"/>
          <w:numId w:val="2"/>
        </w:num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商务要求</w:t>
      </w:r>
    </w:p>
    <w:p>
      <w:pPr>
        <w:pStyle w:val="4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（一）人员要求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</w:t>
      </w:r>
      <w:r>
        <w:rPr>
          <w:rFonts w:ascii="宋体" w:hAnsi="宋体" w:cs="宋体"/>
          <w:sz w:val="24"/>
          <w:szCs w:val="24"/>
        </w:rPr>
        <w:t>现场检测人员熟悉《建筑物防雷设计规范》GB50057、《雷电防护装置检测技术规范》；项目技术负责人具备相关专业中级及以上职称。</w:t>
      </w:r>
      <w:r>
        <w:rPr>
          <w:rFonts w:hint="eastAsia" w:ascii="宋体" w:hAnsi="宋体" w:cs="宋体"/>
          <w:sz w:val="24"/>
          <w:szCs w:val="24"/>
        </w:rPr>
        <w:t>检测人员应经专业培训并考核合格，熟悉掌握防雷检测相关法规标准、技术规范和仪器操作方法，方可开展现场检测工作。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2、严格按照国家及行业现行标准、技术规范开展检测，保证检测流程规范、数据真实准确，不得随意简化检测环节、篡改检测结果。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3、进入检测现场应当遵守安全生产管理制度，按要求佩戴安全防护装备，落实安全防护措施，杜绝违章作业。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4、按规定对仪器进行定期校准、维护保养，保证仪器设备性能稳定、状态完好，检测前检查确认仪器正常方可开展作业。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5、对检测过程中获取的检测对象相关信息予以保密，不得擅自对外泄露检测数据和检测对象的技术、商业信息。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6、完成检测工作后，应当及时整理原始检测记录，保证记录清晰完整、签字规范，对原始记录的真实性负责。</w:t>
      </w:r>
    </w:p>
    <w:p>
      <w:pPr>
        <w:pStyle w:val="6"/>
        <w:spacing w:before="0" w:after="0" w:line="360" w:lineRule="auto"/>
        <w:rPr>
          <w:rFonts w:cs="宋体"/>
          <w:b/>
          <w:bCs/>
          <w:szCs w:val="24"/>
        </w:rPr>
      </w:pPr>
      <w:r>
        <w:rPr>
          <w:rFonts w:hint="eastAsia" w:cs="宋体"/>
          <w:b/>
          <w:bCs/>
          <w:szCs w:val="24"/>
        </w:rPr>
        <w:t>（二）服务期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自签订合同之日起</w:t>
      </w:r>
      <w:r>
        <w:rPr>
          <w:rFonts w:cs="宋体"/>
          <w:szCs w:val="24"/>
        </w:rPr>
        <w:t>40</w:t>
      </w:r>
      <w:r>
        <w:rPr>
          <w:rFonts w:hint="eastAsia" w:cs="宋体"/>
          <w:szCs w:val="24"/>
        </w:rPr>
        <w:t>日历天。</w:t>
      </w:r>
    </w:p>
    <w:p>
      <w:pPr>
        <w:pStyle w:val="6"/>
        <w:numPr>
          <w:ilvl w:val="0"/>
          <w:numId w:val="3"/>
        </w:numPr>
        <w:spacing w:before="0" w:after="0" w:line="360" w:lineRule="auto"/>
        <w:rPr>
          <w:rFonts w:cs="宋体"/>
          <w:b/>
          <w:bCs/>
          <w:szCs w:val="24"/>
        </w:rPr>
      </w:pPr>
      <w:r>
        <w:rPr>
          <w:rFonts w:hint="eastAsia" w:cs="宋体"/>
          <w:b/>
          <w:bCs/>
          <w:szCs w:val="24"/>
        </w:rPr>
        <w:t>售后服务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项目验收</w:t>
      </w:r>
      <w:r>
        <w:rPr>
          <w:rFonts w:cs="宋体"/>
          <w:szCs w:val="24"/>
        </w:rPr>
        <w:t>后12个月内，采购人接受安监、气象、消防检查时，投标人须免费配合答疑、提供检测相关佐证材料。</w:t>
      </w:r>
    </w:p>
    <w:p>
      <w:pPr>
        <w:pStyle w:val="6"/>
        <w:numPr>
          <w:ilvl w:val="0"/>
          <w:numId w:val="4"/>
        </w:numPr>
        <w:spacing w:before="0" w:after="0" w:line="360" w:lineRule="auto"/>
        <w:rPr>
          <w:rFonts w:cs="宋体"/>
          <w:b/>
          <w:bCs/>
          <w:szCs w:val="24"/>
        </w:rPr>
      </w:pPr>
      <w:r>
        <w:rPr>
          <w:rFonts w:hint="eastAsia" w:cs="宋体"/>
          <w:b/>
          <w:bCs/>
          <w:szCs w:val="24"/>
        </w:rPr>
        <w:t>验收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1、供应商须依据相关规范完成清单内建筑物雷电防护装置全覆盖检测，留存完整原始检测记录；按期形成检测成果文件，成果文件必须满足应急管理、消防、卫健、气象主管部门监督检查要求。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2、供应商完成所有服务内容且提交签章齐全、具备法律效力的正式防雷检测报告一式4份（纸质）+电子一份（PDF文档），视为验收合格。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3、如存在检测数据造假、报告无效等情形，采购人有权不予验收。</w:t>
      </w:r>
    </w:p>
    <w:p>
      <w:pPr>
        <w:pStyle w:val="6"/>
        <w:spacing w:before="0" w:after="0" w:line="360" w:lineRule="auto"/>
        <w:rPr>
          <w:rFonts w:cs="宋体"/>
          <w:b/>
          <w:bCs/>
          <w:szCs w:val="24"/>
        </w:rPr>
      </w:pPr>
      <w:r>
        <w:rPr>
          <w:rFonts w:hint="eastAsia" w:cs="宋体"/>
          <w:b/>
          <w:bCs/>
          <w:szCs w:val="24"/>
        </w:rPr>
        <w:t>（四）付款：</w:t>
      </w:r>
    </w:p>
    <w:p>
      <w:pPr>
        <w:pStyle w:val="6"/>
        <w:spacing w:before="0" w:after="0" w:line="360" w:lineRule="auto"/>
        <w:ind w:firstLine="240" w:firstLineChars="100"/>
        <w:rPr>
          <w:rFonts w:cs="宋体"/>
          <w:szCs w:val="24"/>
        </w:rPr>
      </w:pPr>
      <w:r>
        <w:rPr>
          <w:rFonts w:hint="eastAsia" w:cs="宋体"/>
          <w:szCs w:val="24"/>
        </w:rPr>
        <w:t>1、项目验收合格后支付合同金额100%。采购人在收齐请款资料并审核通过后5个工作日内办理支付。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请款资料：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（1）防雷检测报告；</w:t>
      </w:r>
    </w:p>
    <w:p>
      <w:pPr>
        <w:pStyle w:val="6"/>
        <w:spacing w:before="0" w:after="0" w:line="360" w:lineRule="auto"/>
        <w:ind w:firstLine="480" w:firstLineChars="200"/>
        <w:rPr>
          <w:rFonts w:cs="宋体"/>
          <w:szCs w:val="24"/>
        </w:rPr>
      </w:pPr>
      <w:r>
        <w:rPr>
          <w:rFonts w:hint="eastAsia" w:cs="宋体"/>
          <w:szCs w:val="24"/>
        </w:rPr>
        <w:t>（2）请款函；</w:t>
      </w:r>
    </w:p>
    <w:p>
      <w:pPr>
        <w:pStyle w:val="6"/>
        <w:spacing w:before="0" w:after="0" w:line="360" w:lineRule="auto"/>
        <w:ind w:firstLine="480" w:firstLineChars="200"/>
        <w:rPr>
          <w:rFonts w:hint="eastAsia" w:cs="宋体"/>
          <w:szCs w:val="24"/>
        </w:rPr>
      </w:pPr>
      <w:r>
        <w:rPr>
          <w:rFonts w:hint="eastAsia" w:cs="宋体"/>
          <w:szCs w:val="24"/>
        </w:rPr>
        <w:t>（3）等额发票。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BC5B06"/>
    <w:multiLevelType w:val="singleLevel"/>
    <w:tmpl w:val="C3BC5B0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0DFA3FD"/>
    <w:multiLevelType w:val="singleLevel"/>
    <w:tmpl w:val="D0DFA3FD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A79158B"/>
    <w:multiLevelType w:val="singleLevel"/>
    <w:tmpl w:val="5A79158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6D5471FE"/>
    <w:multiLevelType w:val="singleLevel"/>
    <w:tmpl w:val="6D5471F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2343"/>
    <w:rsid w:val="00172A27"/>
    <w:rsid w:val="00382F0D"/>
    <w:rsid w:val="003C4FB4"/>
    <w:rsid w:val="004119C5"/>
    <w:rsid w:val="00634E46"/>
    <w:rsid w:val="00696A52"/>
    <w:rsid w:val="006E3C07"/>
    <w:rsid w:val="008671BF"/>
    <w:rsid w:val="008E610B"/>
    <w:rsid w:val="00A27A28"/>
    <w:rsid w:val="00AC6873"/>
    <w:rsid w:val="00C50775"/>
    <w:rsid w:val="00CA034A"/>
    <w:rsid w:val="00CE488C"/>
    <w:rsid w:val="00D51A9D"/>
    <w:rsid w:val="00E94228"/>
    <w:rsid w:val="00EA4A0D"/>
    <w:rsid w:val="00FC5520"/>
    <w:rsid w:val="00FF2567"/>
    <w:rsid w:val="011166CD"/>
    <w:rsid w:val="01945D70"/>
    <w:rsid w:val="05DF3101"/>
    <w:rsid w:val="0B2F74D5"/>
    <w:rsid w:val="0E4D6000"/>
    <w:rsid w:val="0F390CE4"/>
    <w:rsid w:val="12593D69"/>
    <w:rsid w:val="1A234D27"/>
    <w:rsid w:val="1C144968"/>
    <w:rsid w:val="1C542117"/>
    <w:rsid w:val="28944AB9"/>
    <w:rsid w:val="2D0845B9"/>
    <w:rsid w:val="2DF80EF4"/>
    <w:rsid w:val="32C41357"/>
    <w:rsid w:val="370A7EBA"/>
    <w:rsid w:val="3C0C6EC4"/>
    <w:rsid w:val="3FBB6D85"/>
    <w:rsid w:val="40961ADA"/>
    <w:rsid w:val="4281275C"/>
    <w:rsid w:val="436F2672"/>
    <w:rsid w:val="439B6F77"/>
    <w:rsid w:val="46C237A7"/>
    <w:rsid w:val="49FF635F"/>
    <w:rsid w:val="4EDB1569"/>
    <w:rsid w:val="4F59172B"/>
    <w:rsid w:val="51567931"/>
    <w:rsid w:val="59A37565"/>
    <w:rsid w:val="634C3E58"/>
    <w:rsid w:val="670C71F4"/>
    <w:rsid w:val="67415BCF"/>
    <w:rsid w:val="67433A3A"/>
    <w:rsid w:val="68C51A9D"/>
    <w:rsid w:val="68E407D5"/>
    <w:rsid w:val="69154923"/>
    <w:rsid w:val="6E3235A3"/>
    <w:rsid w:val="6E5F4CDF"/>
    <w:rsid w:val="6EE53343"/>
    <w:rsid w:val="72E7670C"/>
    <w:rsid w:val="7338517D"/>
    <w:rsid w:val="7D400E18"/>
    <w:rsid w:val="7E971863"/>
    <w:rsid w:val="7EA13B93"/>
    <w:rsid w:val="7EAB54F7"/>
    <w:rsid w:val="EF3B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rFonts w:ascii="Times New Roman" w:hAnsi="Times New Roman" w:eastAsia="仿宋" w:cs="Times New Roman"/>
      <w:b/>
      <w:kern w:val="44"/>
      <w:sz w:val="30"/>
    </w:rPr>
  </w:style>
  <w:style w:type="paragraph" w:styleId="4">
    <w:name w:val="heading 2"/>
    <w:basedOn w:val="1"/>
    <w:next w:val="1"/>
    <w:unhideWhenUsed/>
    <w:qFormat/>
    <w:uiPriority w:val="0"/>
    <w:pPr>
      <w:keepLines/>
      <w:spacing w:line="360" w:lineRule="auto"/>
      <w:outlineLvl w:val="1"/>
    </w:pPr>
    <w:rPr>
      <w:rFonts w:ascii="Times New Roman" w:hAnsi="Times New Roman" w:eastAsia="仿宋" w:cs="Times New Roman"/>
      <w:b/>
      <w:sz w:val="28"/>
    </w:rPr>
  </w:style>
  <w:style w:type="paragraph" w:styleId="5">
    <w:name w:val="heading 3"/>
    <w:basedOn w:val="1"/>
    <w:next w:val="1"/>
    <w:qFormat/>
    <w:uiPriority w:val="9"/>
    <w:pPr>
      <w:keepNext/>
      <w:keepLines/>
      <w:spacing w:line="360" w:lineRule="auto"/>
      <w:outlineLvl w:val="2"/>
    </w:pPr>
    <w:rPr>
      <w:rFonts w:ascii="Times New Roman" w:hAnsi="Times New Roman" w:eastAsia="仿宋"/>
      <w:b/>
      <w:bCs/>
      <w:sz w:val="28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autoSpaceDE w:val="0"/>
      <w:autoSpaceDN w:val="0"/>
      <w:spacing w:line="360" w:lineRule="auto"/>
      <w:ind w:firstLine="200" w:firstLineChars="200"/>
    </w:pPr>
    <w:rPr>
      <w:rFonts w:ascii="宋体" w:hAnsi="宋体"/>
      <w:kern w:val="0"/>
    </w:rPr>
  </w:style>
  <w:style w:type="paragraph" w:styleId="6">
    <w:name w:val="Normal (Web)"/>
    <w:basedOn w:val="1"/>
    <w:qFormat/>
    <w:uiPriority w:val="99"/>
    <w:pPr>
      <w:widowControl/>
      <w:spacing w:before="100" w:after="100"/>
      <w:jc w:val="left"/>
    </w:pPr>
    <w:rPr>
      <w:rFonts w:ascii="宋体" w:hAnsi="宋体"/>
      <w:kern w:val="0"/>
      <w:sz w:val="24"/>
      <w:szCs w:val="20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1279</Words>
  <Characters>7295</Characters>
  <Lines>60</Lines>
  <Paragraphs>17</Paragraphs>
  <TotalTime>47</TotalTime>
  <ScaleCrop>false</ScaleCrop>
  <LinksUpToDate>false</LinksUpToDate>
  <CharactersWithSpaces>8557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2018-05-24T15:26:00Z</dcterms:created>
  <dc:creator>VTR-AL00</dc:creator>
  <cp:lastModifiedBy>admin</cp:lastModifiedBy>
  <cp:lastPrinted>2026-07-03T09:30:00Z</cp:lastPrinted>
  <dcterms:modified xsi:type="dcterms:W3CDTF">2026-08-11T09:26:18Z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eyJoZGlkIjoiNTBmNjhhNWQxZmEwMjlkM2E0MWM5ODQ4M2YxMmU0ZGUiLCJ1c2VySWQiOiIyNDc5OTMxOTcifQ==</vt:lpwstr>
  </property>
  <property fmtid="{D5CDD505-2E9C-101B-9397-08002B2CF9AE}" pid="4" name="ICV">
    <vt:lpwstr>A37C8A40FABF4CDEA3BBE688E9AC2106_13</vt:lpwstr>
  </property>
</Properties>
</file>