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AC1F0B">
      <w:pPr>
        <w:pStyle w:val="8"/>
        <w:widowControl/>
        <w:jc w:val="center"/>
        <w:rPr>
          <w:rFonts w:ascii="宋体" w:hAnsi="宋体" w:eastAsia="宋体"/>
          <w:b/>
          <w:sz w:val="32"/>
          <w:szCs w:val="32"/>
        </w:rPr>
      </w:pPr>
      <w:r>
        <w:rPr>
          <w:rFonts w:hint="eastAsia" w:ascii="宋体" w:hAnsi="宋体" w:eastAsia="宋体"/>
          <w:b/>
          <w:sz w:val="32"/>
          <w:szCs w:val="32"/>
        </w:rPr>
        <w:t>广州医科大学附属番禺中心医院听力筛查仪采购项目需求</w:t>
      </w:r>
      <w:bookmarkStart w:id="0" w:name="占用书签"/>
      <w:bookmarkEnd w:id="0"/>
    </w:p>
    <w:p w14:paraId="6D368DB1">
      <w:pPr>
        <w:jc w:val="center"/>
        <w:rPr>
          <w:rFonts w:ascii="宋体" w:hAnsi="宋体" w:eastAsia="宋体"/>
          <w:b/>
          <w:sz w:val="32"/>
          <w:szCs w:val="32"/>
        </w:rPr>
      </w:pPr>
      <w:bookmarkStart w:id="1" w:name="_GoBack"/>
      <w:bookmarkEnd w:id="1"/>
    </w:p>
    <w:p w14:paraId="621467EA">
      <w:pPr>
        <w:pStyle w:val="15"/>
        <w:widowControl/>
        <w:numPr>
          <w:ilvl w:val="-1"/>
          <w:numId w:val="0"/>
        </w:numPr>
        <w:tabs>
          <w:tab w:val="left" w:pos="709"/>
        </w:tabs>
        <w:spacing w:line="360" w:lineRule="auto"/>
        <w:ind w:left="0" w:firstLine="0" w:firstLineChars="0"/>
        <w:jc w:val="left"/>
        <w:rPr>
          <w:rFonts w:hint="eastAsia" w:ascii="宋体" w:hAnsi="宋体" w:cs="宋体" w:eastAsiaTheme="minorEastAsia"/>
          <w:b/>
          <w:bCs/>
          <w:sz w:val="21"/>
          <w:szCs w:val="22"/>
        </w:rPr>
      </w:pPr>
      <w:r>
        <w:rPr>
          <w:rFonts w:hint="eastAsia" w:ascii="宋体" w:hAnsi="宋体" w:cs="宋体"/>
          <w:b/>
          <w:bCs/>
          <w:sz w:val="21"/>
          <w:szCs w:val="22"/>
          <w:lang w:eastAsia="zh-CN"/>
        </w:rPr>
        <w:t>一、</w:t>
      </w:r>
      <w:r>
        <w:rPr>
          <w:rFonts w:hint="eastAsia" w:ascii="宋体" w:hAnsi="宋体" w:cs="宋体" w:eastAsiaTheme="minorEastAsia"/>
          <w:b/>
          <w:bCs/>
          <w:sz w:val="21"/>
          <w:szCs w:val="22"/>
        </w:rPr>
        <w:t>项目概况</w:t>
      </w:r>
    </w:p>
    <w:tbl>
      <w:tblPr>
        <w:tblStyle w:val="10"/>
        <w:tblpPr w:leftFromText="180" w:rightFromText="180" w:vertAnchor="text" w:horzAnchor="margin" w:tblpY="200"/>
        <w:tblW w:w="9557" w:type="dxa"/>
        <w:tblInd w:w="0" w:type="dxa"/>
        <w:tblBorders>
          <w:top w:val="single" w:color="auto" w:sz="4" w:space="0"/>
          <w:left w:val="single" w:color="auto" w:sz="4" w:space="0"/>
          <w:bottom w:val="single" w:color="000000" w:sz="6" w:space="0"/>
          <w:right w:val="single" w:color="000000" w:sz="4" w:space="0"/>
          <w:insideH w:val="single" w:color="auto" w:sz="4" w:space="0"/>
          <w:insideV w:val="single" w:color="auto" w:sz="4" w:space="0"/>
        </w:tblBorders>
        <w:tblLayout w:type="fixed"/>
        <w:tblCellMar>
          <w:top w:w="0" w:type="dxa"/>
          <w:left w:w="108" w:type="dxa"/>
          <w:bottom w:w="0" w:type="dxa"/>
          <w:right w:w="108" w:type="dxa"/>
        </w:tblCellMar>
      </w:tblPr>
      <w:tblGrid>
        <w:gridCol w:w="642"/>
        <w:gridCol w:w="1400"/>
        <w:gridCol w:w="3246"/>
        <w:gridCol w:w="1537"/>
        <w:gridCol w:w="1195"/>
        <w:gridCol w:w="1537"/>
      </w:tblGrid>
      <w:tr w14:paraId="0BF3D7C4">
        <w:tblPrEx>
          <w:tblBorders>
            <w:top w:val="single" w:color="auto" w:sz="4" w:space="0"/>
            <w:left w:val="single" w:color="auto" w:sz="4" w:space="0"/>
            <w:bottom w:val="single" w:color="000000" w:sz="6" w:space="0"/>
            <w:right w:val="single" w:color="000000"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642" w:type="dxa"/>
            <w:vAlign w:val="center"/>
          </w:tcPr>
          <w:p w14:paraId="0868EA79">
            <w:pPr>
              <w:widowControl/>
              <w:jc w:val="center"/>
              <w:rPr>
                <w:rFonts w:ascii="宋体" w:hAnsi="宋体" w:eastAsia="宋体" w:cs="宋体"/>
                <w:b/>
                <w:color w:val="000000"/>
                <w:szCs w:val="21"/>
              </w:rPr>
            </w:pPr>
            <w:r>
              <w:rPr>
                <w:rFonts w:hint="eastAsia" w:ascii="宋体" w:hAnsi="宋体" w:eastAsia="宋体" w:cs="宋体"/>
                <w:b/>
                <w:color w:val="000000"/>
                <w:szCs w:val="21"/>
              </w:rPr>
              <w:t>序号</w:t>
            </w:r>
          </w:p>
        </w:tc>
        <w:tc>
          <w:tcPr>
            <w:tcW w:w="1400" w:type="dxa"/>
            <w:vAlign w:val="center"/>
          </w:tcPr>
          <w:p w14:paraId="47FCE942">
            <w:pPr>
              <w:widowControl/>
              <w:jc w:val="center"/>
              <w:rPr>
                <w:rFonts w:ascii="宋体" w:hAnsi="宋体" w:eastAsia="宋体" w:cs="宋体"/>
                <w:b/>
                <w:color w:val="000000"/>
                <w:szCs w:val="21"/>
              </w:rPr>
            </w:pPr>
            <w:r>
              <w:rPr>
                <w:rFonts w:hint="eastAsia" w:ascii="宋体" w:hAnsi="宋体" w:eastAsia="宋体" w:cs="宋体"/>
                <w:b/>
                <w:color w:val="000000"/>
                <w:szCs w:val="21"/>
              </w:rPr>
              <w:t>使用科室</w:t>
            </w:r>
          </w:p>
        </w:tc>
        <w:tc>
          <w:tcPr>
            <w:tcW w:w="3246" w:type="dxa"/>
            <w:vAlign w:val="center"/>
          </w:tcPr>
          <w:p w14:paraId="0DF8CAF7">
            <w:pPr>
              <w:widowControl/>
              <w:jc w:val="center"/>
              <w:rPr>
                <w:rFonts w:ascii="宋体" w:hAnsi="宋体" w:eastAsia="宋体" w:cs="宋体"/>
                <w:b/>
                <w:color w:val="000000"/>
                <w:szCs w:val="21"/>
              </w:rPr>
            </w:pPr>
            <w:r>
              <w:rPr>
                <w:rFonts w:hint="eastAsia" w:ascii="宋体" w:hAnsi="宋体" w:eastAsia="宋体" w:cs="宋体"/>
                <w:b/>
                <w:color w:val="000000"/>
                <w:szCs w:val="21"/>
              </w:rPr>
              <w:t>项目名称</w:t>
            </w:r>
          </w:p>
        </w:tc>
        <w:tc>
          <w:tcPr>
            <w:tcW w:w="1537" w:type="dxa"/>
            <w:vAlign w:val="center"/>
          </w:tcPr>
          <w:p w14:paraId="313CEA10">
            <w:pPr>
              <w:widowControl/>
              <w:jc w:val="center"/>
              <w:rPr>
                <w:rFonts w:ascii="宋体" w:hAnsi="宋体" w:eastAsia="宋体" w:cs="宋体"/>
                <w:b/>
                <w:bCs/>
                <w:color w:val="000000"/>
                <w:szCs w:val="21"/>
              </w:rPr>
            </w:pPr>
            <w:r>
              <w:rPr>
                <w:rFonts w:hint="eastAsia" w:ascii="宋体" w:hAnsi="宋体" w:eastAsia="宋体" w:cs="宋体"/>
                <w:b/>
                <w:bCs/>
                <w:color w:val="000000"/>
                <w:szCs w:val="21"/>
              </w:rPr>
              <w:t>预算单价</w:t>
            </w:r>
            <w:r>
              <w:rPr>
                <w:rFonts w:hint="eastAsia" w:ascii="宋体" w:hAnsi="宋体" w:eastAsia="宋体" w:cs="宋体"/>
                <w:b/>
                <w:color w:val="000000"/>
                <w:szCs w:val="21"/>
              </w:rPr>
              <w:t>（万元）</w:t>
            </w:r>
          </w:p>
        </w:tc>
        <w:tc>
          <w:tcPr>
            <w:tcW w:w="1195" w:type="dxa"/>
            <w:vAlign w:val="center"/>
          </w:tcPr>
          <w:p w14:paraId="58D6B312">
            <w:pPr>
              <w:widowControl/>
              <w:jc w:val="center"/>
              <w:rPr>
                <w:rFonts w:ascii="宋体" w:hAnsi="宋体" w:eastAsia="宋体" w:cs="宋体"/>
                <w:b/>
                <w:bCs/>
                <w:color w:val="000000"/>
                <w:szCs w:val="21"/>
              </w:rPr>
            </w:pPr>
            <w:r>
              <w:rPr>
                <w:rFonts w:hint="eastAsia" w:ascii="宋体" w:hAnsi="宋体" w:eastAsia="宋体" w:cs="宋体"/>
                <w:b/>
                <w:bCs/>
                <w:color w:val="000000"/>
                <w:szCs w:val="21"/>
              </w:rPr>
              <w:t>数量</w:t>
            </w:r>
          </w:p>
        </w:tc>
        <w:tc>
          <w:tcPr>
            <w:tcW w:w="1537" w:type="dxa"/>
            <w:vAlign w:val="center"/>
          </w:tcPr>
          <w:p w14:paraId="59C34D45">
            <w:pPr>
              <w:widowControl/>
              <w:jc w:val="center"/>
              <w:rPr>
                <w:rFonts w:ascii="宋体" w:hAnsi="宋体" w:eastAsia="宋体" w:cs="宋体"/>
                <w:b/>
                <w:bCs/>
                <w:color w:val="000000"/>
                <w:szCs w:val="21"/>
              </w:rPr>
            </w:pPr>
            <w:r>
              <w:rPr>
                <w:rFonts w:hint="eastAsia" w:ascii="宋体" w:hAnsi="宋体" w:eastAsia="宋体" w:cs="宋体"/>
                <w:b/>
                <w:bCs/>
                <w:color w:val="000000"/>
                <w:szCs w:val="21"/>
              </w:rPr>
              <w:t>预算金额（万元）</w:t>
            </w:r>
          </w:p>
        </w:tc>
      </w:tr>
      <w:tr w14:paraId="042F17E8">
        <w:tblPrEx>
          <w:tblBorders>
            <w:top w:val="single" w:color="auto" w:sz="4" w:space="0"/>
            <w:left w:val="single" w:color="auto" w:sz="4" w:space="0"/>
            <w:bottom w:val="single" w:color="000000" w:sz="6" w:space="0"/>
            <w:right w:val="single" w:color="000000"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642" w:type="dxa"/>
            <w:vMerge w:val="restart"/>
            <w:vAlign w:val="center"/>
          </w:tcPr>
          <w:p w14:paraId="3793D168">
            <w:pPr>
              <w:widowControl/>
              <w:jc w:val="center"/>
              <w:rPr>
                <w:rFonts w:hint="eastAsia" w:ascii="宋体" w:hAnsi="宋体" w:eastAsia="宋体" w:cs="宋体"/>
                <w:bCs/>
                <w:color w:val="000000"/>
                <w:szCs w:val="21"/>
                <w:lang w:val="en-US" w:eastAsia="zh-CN"/>
              </w:rPr>
            </w:pPr>
            <w:r>
              <w:rPr>
                <w:rFonts w:hint="eastAsia" w:ascii="宋体" w:hAnsi="宋体" w:eastAsia="宋体" w:cs="宋体"/>
                <w:bCs/>
                <w:color w:val="000000"/>
                <w:szCs w:val="21"/>
                <w:lang w:val="en-US" w:eastAsia="zh-CN"/>
              </w:rPr>
              <w:t>1</w:t>
            </w:r>
          </w:p>
        </w:tc>
        <w:tc>
          <w:tcPr>
            <w:tcW w:w="1400" w:type="dxa"/>
            <w:vMerge w:val="restart"/>
            <w:vAlign w:val="center"/>
          </w:tcPr>
          <w:p w14:paraId="08F2CFBC">
            <w:pPr>
              <w:widowControl/>
              <w:jc w:val="center"/>
              <w:rPr>
                <w:rFonts w:hint="default" w:ascii="宋体" w:hAnsi="宋体" w:eastAsia="宋体" w:cs="宋体"/>
                <w:bCs/>
                <w:color w:val="000000"/>
                <w:szCs w:val="21"/>
                <w:lang w:val="en-US" w:eastAsia="zh-CN"/>
              </w:rPr>
            </w:pPr>
            <w:r>
              <w:rPr>
                <w:rFonts w:hint="eastAsia" w:ascii="宋体" w:hAnsi="宋体" w:eastAsia="宋体" w:cs="宋体"/>
                <w:bCs/>
                <w:color w:val="000000"/>
                <w:sz w:val="21"/>
                <w:szCs w:val="21"/>
                <w:lang w:val="en-US" w:eastAsia="zh-CN" w:bidi="ar"/>
              </w:rPr>
              <w:t>耳鼻喉科</w:t>
            </w:r>
          </w:p>
        </w:tc>
        <w:tc>
          <w:tcPr>
            <w:tcW w:w="3246" w:type="dxa"/>
            <w:vMerge w:val="restart"/>
            <w:vAlign w:val="center"/>
          </w:tcPr>
          <w:p w14:paraId="0AB63B7B">
            <w:pPr>
              <w:widowControl/>
              <w:jc w:val="center"/>
              <w:textAlignment w:val="center"/>
              <w:rPr>
                <w:rFonts w:hint="eastAsia" w:ascii="宋体" w:hAnsi="宋体" w:eastAsia="宋体" w:cs="宋体"/>
                <w:color w:val="000000"/>
                <w:kern w:val="0"/>
                <w:szCs w:val="21"/>
                <w:lang w:val="en-US" w:eastAsia="zh-CN" w:bidi="ar"/>
              </w:rPr>
            </w:pPr>
            <w:r>
              <w:rPr>
                <w:rFonts w:hint="eastAsia" w:ascii="宋体" w:hAnsi="宋体" w:eastAsia="宋体" w:cs="宋体"/>
                <w:color w:val="000000"/>
                <w:kern w:val="0"/>
                <w:szCs w:val="21"/>
                <w:lang w:bidi="ar"/>
              </w:rPr>
              <w:t>听力筛查仪</w:t>
            </w:r>
          </w:p>
        </w:tc>
        <w:tc>
          <w:tcPr>
            <w:tcW w:w="1537" w:type="dxa"/>
            <w:vMerge w:val="restart"/>
            <w:vAlign w:val="center"/>
          </w:tcPr>
          <w:p w14:paraId="27E7A48B">
            <w:pPr>
              <w:widowControl/>
              <w:jc w:val="center"/>
              <w:textAlignment w:val="center"/>
              <w:rPr>
                <w:rFonts w:hint="default" w:ascii="宋体" w:hAnsi="宋体" w:eastAsia="宋体" w:cs="宋体"/>
                <w:color w:val="000000"/>
                <w:kern w:val="0"/>
                <w:szCs w:val="21"/>
                <w:lang w:val="en-US" w:eastAsia="zh-CN" w:bidi="ar"/>
              </w:rPr>
            </w:pPr>
            <w:r>
              <w:rPr>
                <w:rFonts w:hint="eastAsia" w:ascii="宋体" w:hAnsi="宋体" w:eastAsia="宋体" w:cs="宋体"/>
                <w:color w:val="000000"/>
                <w:kern w:val="0"/>
                <w:szCs w:val="21"/>
                <w:lang w:val="en-US" w:eastAsia="zh-CN" w:bidi="ar"/>
              </w:rPr>
              <w:t>18.2</w:t>
            </w:r>
          </w:p>
        </w:tc>
        <w:tc>
          <w:tcPr>
            <w:tcW w:w="1195" w:type="dxa"/>
            <w:vMerge w:val="restart"/>
            <w:vAlign w:val="center"/>
          </w:tcPr>
          <w:p w14:paraId="318F566C">
            <w:pPr>
              <w:widowControl/>
              <w:jc w:val="center"/>
              <w:textAlignment w:val="center"/>
              <w:rPr>
                <w:rFonts w:hint="eastAsia" w:ascii="宋体" w:hAnsi="宋体" w:eastAsia="宋体" w:cs="宋体"/>
                <w:color w:val="000000"/>
                <w:kern w:val="0"/>
                <w:szCs w:val="21"/>
                <w:lang w:val="en-US" w:eastAsia="zh-CN" w:bidi="ar"/>
              </w:rPr>
            </w:pPr>
            <w:r>
              <w:rPr>
                <w:rFonts w:hint="eastAsia" w:ascii="宋体" w:hAnsi="宋体" w:eastAsia="宋体" w:cs="宋体"/>
                <w:color w:val="000000"/>
                <w:kern w:val="0"/>
                <w:szCs w:val="21"/>
                <w:lang w:val="en-US" w:eastAsia="zh-CN" w:bidi="ar"/>
              </w:rPr>
              <w:t>1</w:t>
            </w:r>
          </w:p>
        </w:tc>
        <w:tc>
          <w:tcPr>
            <w:tcW w:w="1537" w:type="dxa"/>
            <w:vMerge w:val="restart"/>
            <w:vAlign w:val="center"/>
          </w:tcPr>
          <w:p w14:paraId="6E97DC95">
            <w:pPr>
              <w:widowControl/>
              <w:jc w:val="both"/>
              <w:textAlignment w:val="center"/>
              <w:rPr>
                <w:rFonts w:hint="default" w:ascii="宋体" w:hAnsi="宋体" w:eastAsia="宋体" w:cs="宋体"/>
                <w:color w:val="000000"/>
                <w:kern w:val="0"/>
                <w:szCs w:val="21"/>
                <w:lang w:val="en-US" w:eastAsia="zh-CN" w:bidi="ar"/>
              </w:rPr>
            </w:pPr>
            <w:r>
              <w:rPr>
                <w:rFonts w:hint="eastAsia" w:ascii="宋体" w:hAnsi="宋体" w:eastAsia="宋体" w:cs="宋体"/>
                <w:color w:val="000000"/>
                <w:kern w:val="0"/>
                <w:szCs w:val="21"/>
                <w:lang w:val="en-US" w:eastAsia="zh-CN" w:bidi="ar"/>
              </w:rPr>
              <w:t>18.2</w:t>
            </w:r>
          </w:p>
        </w:tc>
      </w:tr>
      <w:tr w14:paraId="720F8BB1">
        <w:tblPrEx>
          <w:tblBorders>
            <w:top w:val="single" w:color="auto" w:sz="4" w:space="0"/>
            <w:left w:val="single" w:color="auto" w:sz="4" w:space="0"/>
            <w:bottom w:val="single" w:color="000000" w:sz="6" w:space="0"/>
            <w:right w:val="single" w:color="000000"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642" w:type="dxa"/>
            <w:vMerge w:val="continue"/>
            <w:vAlign w:val="center"/>
          </w:tcPr>
          <w:p w14:paraId="256C25CE">
            <w:pPr>
              <w:widowControl/>
              <w:jc w:val="center"/>
              <w:rPr>
                <w:rFonts w:ascii="宋体" w:hAnsi="宋体" w:eastAsia="宋体" w:cs="宋体"/>
                <w:bCs/>
                <w:color w:val="000000"/>
                <w:szCs w:val="21"/>
              </w:rPr>
            </w:pPr>
          </w:p>
        </w:tc>
        <w:tc>
          <w:tcPr>
            <w:tcW w:w="1400" w:type="dxa"/>
            <w:vMerge w:val="continue"/>
            <w:vAlign w:val="center"/>
          </w:tcPr>
          <w:p w14:paraId="5856733E">
            <w:pPr>
              <w:widowControl/>
              <w:jc w:val="center"/>
              <w:rPr>
                <w:rFonts w:ascii="宋体" w:hAnsi="宋体" w:eastAsia="宋体" w:cs="宋体"/>
                <w:bCs/>
                <w:color w:val="000000"/>
                <w:szCs w:val="21"/>
              </w:rPr>
            </w:pPr>
          </w:p>
        </w:tc>
        <w:tc>
          <w:tcPr>
            <w:tcW w:w="3246" w:type="dxa"/>
            <w:vMerge w:val="continue"/>
            <w:vAlign w:val="center"/>
          </w:tcPr>
          <w:p w14:paraId="13C7069C">
            <w:pPr>
              <w:widowControl/>
              <w:jc w:val="center"/>
              <w:textAlignment w:val="center"/>
              <w:rPr>
                <w:rFonts w:ascii="宋体" w:hAnsi="宋体" w:eastAsia="宋体" w:cs="宋体"/>
                <w:color w:val="000000"/>
                <w:kern w:val="0"/>
                <w:szCs w:val="21"/>
                <w:lang w:bidi="ar"/>
              </w:rPr>
            </w:pPr>
          </w:p>
        </w:tc>
        <w:tc>
          <w:tcPr>
            <w:tcW w:w="1537" w:type="dxa"/>
            <w:vMerge w:val="continue"/>
            <w:vAlign w:val="center"/>
          </w:tcPr>
          <w:p w14:paraId="374B99D9">
            <w:pPr>
              <w:widowControl/>
              <w:jc w:val="center"/>
              <w:textAlignment w:val="center"/>
              <w:rPr>
                <w:rFonts w:ascii="宋体" w:hAnsi="宋体" w:eastAsia="宋体" w:cs="宋体"/>
                <w:color w:val="000000"/>
                <w:kern w:val="0"/>
                <w:szCs w:val="21"/>
                <w:lang w:bidi="ar"/>
              </w:rPr>
            </w:pPr>
          </w:p>
        </w:tc>
        <w:tc>
          <w:tcPr>
            <w:tcW w:w="1195" w:type="dxa"/>
            <w:vMerge w:val="continue"/>
            <w:vAlign w:val="center"/>
          </w:tcPr>
          <w:p w14:paraId="009C682B">
            <w:pPr>
              <w:widowControl/>
              <w:jc w:val="center"/>
              <w:textAlignment w:val="center"/>
              <w:rPr>
                <w:rFonts w:ascii="宋体" w:hAnsi="宋体" w:eastAsia="宋体" w:cs="宋体"/>
                <w:color w:val="000000"/>
                <w:kern w:val="0"/>
                <w:szCs w:val="21"/>
                <w:lang w:bidi="ar"/>
              </w:rPr>
            </w:pPr>
          </w:p>
        </w:tc>
        <w:tc>
          <w:tcPr>
            <w:tcW w:w="1537" w:type="dxa"/>
            <w:vMerge w:val="continue"/>
            <w:vAlign w:val="center"/>
          </w:tcPr>
          <w:p w14:paraId="1BCFD6EC">
            <w:pPr>
              <w:widowControl/>
              <w:jc w:val="center"/>
              <w:textAlignment w:val="center"/>
              <w:rPr>
                <w:rFonts w:ascii="宋体" w:hAnsi="宋体" w:eastAsia="宋体" w:cs="宋体"/>
                <w:color w:val="000000"/>
                <w:kern w:val="0"/>
                <w:szCs w:val="21"/>
                <w:lang w:bidi="ar"/>
              </w:rPr>
            </w:pPr>
          </w:p>
        </w:tc>
      </w:tr>
    </w:tbl>
    <w:p w14:paraId="42BC5002">
      <w:pPr>
        <w:pStyle w:val="15"/>
        <w:numPr>
          <w:ilvl w:val="255"/>
          <w:numId w:val="0"/>
        </w:numPr>
        <w:tabs>
          <w:tab w:val="left" w:pos="709"/>
        </w:tabs>
        <w:spacing w:line="360" w:lineRule="auto"/>
        <w:rPr>
          <w:rFonts w:ascii="宋体" w:hAnsi="宋体" w:eastAsia="宋体" w:cs="宋体"/>
          <w:kern w:val="0"/>
          <w:sz w:val="24"/>
          <w:szCs w:val="24"/>
        </w:rPr>
      </w:pPr>
    </w:p>
    <w:p w14:paraId="20DB88B9">
      <w:pPr>
        <w:pStyle w:val="15"/>
        <w:numPr>
          <w:ilvl w:val="-1"/>
          <w:numId w:val="0"/>
        </w:numPr>
        <w:tabs>
          <w:tab w:val="left" w:pos="709"/>
        </w:tabs>
        <w:spacing w:line="360" w:lineRule="auto"/>
        <w:ind w:left="0" w:firstLine="0" w:firstLineChars="0"/>
        <w:rPr>
          <w:rFonts w:ascii="宋体" w:hAnsi="宋体" w:cs="宋体"/>
        </w:rPr>
      </w:pPr>
      <w:r>
        <w:rPr>
          <w:rFonts w:hint="eastAsia" w:ascii="宋体" w:hAnsi="宋体" w:cs="宋体"/>
          <w:b/>
          <w:bCs/>
          <w:lang w:eastAsia="zh-CN"/>
        </w:rPr>
        <w:t>二、</w:t>
      </w:r>
      <w:r>
        <w:rPr>
          <w:rFonts w:hint="eastAsia" w:ascii="宋体" w:hAnsi="宋体" w:cs="宋体"/>
          <w:b/>
          <w:bCs/>
        </w:rPr>
        <w:t>项目需求简述</w:t>
      </w:r>
      <w:r>
        <w:rPr>
          <w:rFonts w:hint="default" w:ascii="宋体" w:hAnsi="宋体" w:cs="宋体"/>
        </w:rPr>
        <w:t>,允许进口产口参</w:t>
      </w:r>
      <w:r>
        <w:rPr>
          <w:rFonts w:hint="eastAsia" w:ascii="宋体" w:hAnsi="宋体" w:cs="宋体"/>
          <w:lang w:val="en-US" w:eastAsia="zh-CN"/>
        </w:rPr>
        <w:t>加</w:t>
      </w:r>
      <w:r>
        <w:rPr>
          <w:rFonts w:hint="default" w:ascii="宋体" w:hAnsi="宋体" w:cs="宋体"/>
        </w:rPr>
        <w:t>。</w:t>
      </w:r>
    </w:p>
    <w:p w14:paraId="3159FE24">
      <w:pPr>
        <w:widowControl/>
        <w:adjustRightInd w:val="0"/>
        <w:snapToGrid w:val="0"/>
        <w:spacing w:line="360" w:lineRule="auto"/>
        <w:rPr>
          <w:rFonts w:hint="eastAsia" w:ascii="宋体" w:hAnsi="宋体" w:cs="宋体"/>
        </w:rPr>
      </w:pPr>
      <w:r>
        <w:rPr>
          <w:rFonts w:hint="eastAsia" w:ascii="宋体" w:hAnsi="宋体" w:cs="宋体"/>
        </w:rPr>
        <w:t>（一）项目背景：为保障新生儿听力筛查及儿童听力诊断工作的规范开展，提升听觉传导通路功能评估的准确性，经科室专业组讨论及市场调研，结合临床实际需求、设备技术性能及功能配置要求，拟采购听力筛查仪1套。</w:t>
      </w:r>
    </w:p>
    <w:p w14:paraId="222EC365">
      <w:pPr>
        <w:widowControl/>
        <w:adjustRightInd/>
        <w:snapToGrid/>
        <w:spacing w:line="480" w:lineRule="exact"/>
        <w:jc w:val="left"/>
        <w:rPr>
          <w:rFonts w:hint="eastAsia" w:ascii="宋体" w:hAnsi="宋体" w:cs="宋体"/>
        </w:rPr>
      </w:pPr>
      <w:r>
        <w:rPr>
          <w:rFonts w:hint="eastAsia" w:ascii="宋体" w:hAnsi="宋体" w:cs="宋体"/>
        </w:rPr>
        <w:t>（二）预算情况：</w:t>
      </w:r>
      <w:r>
        <w:rPr>
          <w:rFonts w:hint="eastAsia" w:ascii="宋体" w:hAnsi="宋体" w:cs="宋体"/>
          <w:lang w:val="en-US" w:eastAsia="zh-CN"/>
        </w:rPr>
        <w:t>18.2</w:t>
      </w:r>
      <w:r>
        <w:rPr>
          <w:rFonts w:hint="eastAsia" w:ascii="宋体" w:hAnsi="宋体" w:cs="宋体"/>
        </w:rPr>
        <w:t>万元/台。</w:t>
      </w:r>
    </w:p>
    <w:p w14:paraId="1D32C9F7">
      <w:pPr>
        <w:spacing w:line="480" w:lineRule="exact"/>
        <w:rPr>
          <w:rFonts w:hint="eastAsia" w:ascii="宋体" w:hAnsi="宋体" w:cs="宋体" w:eastAsiaTheme="minorEastAsia"/>
          <w:kern w:val="2"/>
          <w:sz w:val="21"/>
          <w:szCs w:val="22"/>
        </w:rPr>
      </w:pPr>
      <w:r>
        <w:rPr>
          <w:rFonts w:hint="eastAsia" w:ascii="宋体" w:hAnsi="宋体" w:cs="宋体" w:eastAsiaTheme="minorEastAsia"/>
          <w:kern w:val="2"/>
          <w:sz w:val="21"/>
          <w:szCs w:val="22"/>
        </w:rPr>
        <w:t>（三）具体需求：</w:t>
      </w:r>
    </w:p>
    <w:p w14:paraId="67C7B44F">
      <w:pPr>
        <w:spacing w:line="480" w:lineRule="exact"/>
        <w:rPr>
          <w:rFonts w:hint="eastAsia" w:ascii="宋体" w:hAnsi="宋体" w:cs="宋体" w:eastAsiaTheme="minorEastAsia"/>
          <w:kern w:val="2"/>
          <w:sz w:val="21"/>
          <w:szCs w:val="22"/>
        </w:rPr>
      </w:pPr>
      <w:r>
        <w:rPr>
          <w:rFonts w:hint="eastAsia" w:ascii="宋体" w:hAnsi="宋体" w:cs="宋体" w:eastAsiaTheme="minorEastAsia"/>
          <w:kern w:val="2"/>
          <w:sz w:val="21"/>
          <w:szCs w:val="22"/>
          <w:lang w:val="en-US" w:eastAsia="zh-CN"/>
        </w:rPr>
        <w:t>1.</w:t>
      </w:r>
      <w:r>
        <w:rPr>
          <w:rFonts w:hint="eastAsia" w:ascii="宋体" w:hAnsi="宋体" w:cs="宋体" w:eastAsiaTheme="minorEastAsia"/>
          <w:kern w:val="2"/>
          <w:sz w:val="21"/>
          <w:szCs w:val="22"/>
          <w:lang w:bidi="ar-SA"/>
        </w:rPr>
        <w:t>听力筛查仪</w:t>
      </w:r>
      <w:r>
        <w:rPr>
          <w:rFonts w:hint="eastAsia" w:ascii="宋体" w:hAnsi="宋体" w:cs="宋体" w:eastAsiaTheme="minorEastAsia"/>
          <w:kern w:val="2"/>
          <w:sz w:val="21"/>
          <w:szCs w:val="22"/>
          <w:lang w:val="en-US" w:eastAsia="zh-CN" w:bidi="ar-SA"/>
        </w:rPr>
        <w:t>1</w:t>
      </w:r>
      <w:r>
        <w:rPr>
          <w:rFonts w:hint="eastAsia" w:ascii="宋体" w:hAnsi="宋体" w:cs="宋体" w:eastAsiaTheme="minorEastAsia"/>
          <w:kern w:val="2"/>
          <w:sz w:val="21"/>
          <w:szCs w:val="22"/>
        </w:rPr>
        <w:t>台</w:t>
      </w:r>
    </w:p>
    <w:p w14:paraId="36990DAD">
      <w:pPr>
        <w:spacing w:line="480" w:lineRule="exact"/>
        <w:rPr>
          <w:rFonts w:hint="eastAsia" w:ascii="宋体" w:hAnsi="宋体" w:cs="宋体" w:eastAsiaTheme="minorEastAsia"/>
          <w:bCs w:val="0"/>
          <w:kern w:val="2"/>
          <w:sz w:val="21"/>
          <w:szCs w:val="22"/>
          <w:lang w:val="en-US" w:eastAsia="zh-CN" w:bidi="ar-SA"/>
        </w:rPr>
      </w:pPr>
      <w:r>
        <w:rPr>
          <w:rFonts w:hint="eastAsia" w:ascii="宋体" w:hAnsi="宋体" w:cs="宋体"/>
          <w:bCs w:val="0"/>
          <w:kern w:val="2"/>
          <w:sz w:val="21"/>
          <w:szCs w:val="22"/>
          <w:lang w:eastAsia="zh-CN" w:bidi="ar-SA"/>
        </w:rPr>
        <w:t>2</w:t>
      </w:r>
      <w:r>
        <w:rPr>
          <w:rFonts w:hint="eastAsia" w:ascii="宋体" w:hAnsi="宋体" w:cs="宋体" w:eastAsiaTheme="minorEastAsia"/>
          <w:bCs w:val="0"/>
          <w:kern w:val="2"/>
          <w:sz w:val="21"/>
          <w:szCs w:val="22"/>
          <w:lang w:val="en-US" w:eastAsia="zh-CN" w:bidi="ar-SA"/>
        </w:rPr>
        <w:t>. 若投标人为所投产品的生产企业，且所投产品为第二类医疗器械，应提供有效的《医疗器械生产许可证》复印件（</w:t>
      </w:r>
      <w:r>
        <w:rPr>
          <w:rFonts w:hint="eastAsia" w:ascii="宋体" w:hAnsi="宋体" w:cs="宋体" w:eastAsiaTheme="minorEastAsia"/>
          <w:bCs w:val="0"/>
          <w:i w:val="0"/>
          <w:iCs w:val="0"/>
          <w:caps w:val="0"/>
          <w:spacing w:val="0"/>
          <w:kern w:val="2"/>
          <w:sz w:val="21"/>
          <w:szCs w:val="22"/>
          <w:shd w:val="clear"/>
          <w:lang w:bidi="ar-SA"/>
        </w:rPr>
        <w:t>如国家另有规定的，从其规定，并须同时提供加盖投标人公章的相关佐证材料</w:t>
      </w:r>
      <w:r>
        <w:rPr>
          <w:rFonts w:hint="eastAsia" w:ascii="宋体" w:hAnsi="宋体" w:cs="宋体" w:eastAsiaTheme="minorEastAsia"/>
          <w:bCs w:val="0"/>
          <w:kern w:val="2"/>
          <w:sz w:val="21"/>
          <w:szCs w:val="22"/>
          <w:lang w:val="en-US" w:eastAsia="zh-CN" w:bidi="ar-SA"/>
        </w:rPr>
        <w:t>）。</w:t>
      </w:r>
    </w:p>
    <w:p w14:paraId="039CDDF6">
      <w:pPr>
        <w:widowControl/>
        <w:spacing w:line="480" w:lineRule="exact"/>
        <w:rPr>
          <w:rFonts w:hint="eastAsia" w:ascii="宋体" w:hAnsi="宋体" w:cs="宋体" w:eastAsiaTheme="minorEastAsia"/>
          <w:kern w:val="2"/>
          <w:sz w:val="21"/>
          <w:szCs w:val="22"/>
        </w:rPr>
      </w:pPr>
      <w:r>
        <w:rPr>
          <w:rFonts w:hint="eastAsia" w:ascii="宋体" w:hAnsi="宋体" w:cs="宋体"/>
          <w:bCs w:val="0"/>
          <w:kern w:val="2"/>
          <w:sz w:val="21"/>
          <w:szCs w:val="22"/>
          <w:lang w:eastAsia="zh-CN" w:bidi="ar-SA"/>
        </w:rPr>
        <w:t>3</w:t>
      </w:r>
      <w:r>
        <w:rPr>
          <w:rFonts w:hint="eastAsia" w:ascii="宋体" w:hAnsi="宋体" w:cs="宋体" w:eastAsiaTheme="minorEastAsia"/>
          <w:bCs w:val="0"/>
          <w:kern w:val="2"/>
          <w:sz w:val="21"/>
          <w:szCs w:val="22"/>
          <w:lang w:val="en-US" w:eastAsia="zh-CN" w:bidi="ar-SA"/>
        </w:rPr>
        <w:t>.</w:t>
      </w:r>
      <w:r>
        <w:rPr>
          <w:rFonts w:hint="eastAsia" w:ascii="宋体" w:hAnsi="宋体" w:cs="宋体"/>
        </w:rPr>
        <w:t>★</w:t>
      </w:r>
      <w:r>
        <w:rPr>
          <w:rFonts w:hint="eastAsia" w:ascii="宋体" w:hAnsi="宋体" w:cs="宋体" w:eastAsiaTheme="minorEastAsia"/>
          <w:bCs w:val="0"/>
          <w:kern w:val="2"/>
          <w:sz w:val="21"/>
          <w:szCs w:val="22"/>
          <w:lang w:val="en-US" w:eastAsia="zh-CN" w:bidi="ar-SA"/>
        </w:rPr>
        <w:t>设备需具备</w:t>
      </w:r>
      <w:r>
        <w:rPr>
          <w:rFonts w:hint="eastAsia" w:ascii="宋体" w:hAnsi="宋体" w:cs="宋体" w:eastAsiaTheme="minorEastAsia"/>
          <w:kern w:val="2"/>
          <w:sz w:val="21"/>
          <w:szCs w:val="22"/>
        </w:rPr>
        <w:t>II</w:t>
      </w:r>
      <w:r>
        <w:rPr>
          <w:rFonts w:hint="eastAsia" w:ascii="宋体" w:hAnsi="宋体" w:cs="宋体" w:eastAsiaTheme="minorEastAsia"/>
          <w:kern w:val="2"/>
          <w:sz w:val="21"/>
          <w:szCs w:val="22"/>
          <w:lang w:val="en-US" w:eastAsia="zh-CN"/>
        </w:rPr>
        <w:t>类医疗器械注册证。</w:t>
      </w:r>
    </w:p>
    <w:p w14:paraId="245A869A">
      <w:pPr>
        <w:widowControl/>
        <w:spacing w:line="480" w:lineRule="exact"/>
        <w:jc w:val="left"/>
        <w:rPr>
          <w:rFonts w:hint="eastAsia" w:ascii="宋体" w:hAnsi="宋体" w:cs="宋体"/>
          <w:b/>
          <w:bCs/>
        </w:rPr>
      </w:pPr>
      <w:r>
        <w:rPr>
          <w:rFonts w:hint="eastAsia" w:ascii="宋体" w:hAnsi="宋体" w:cs="宋体"/>
          <w:b/>
          <w:bCs/>
        </w:rPr>
        <w:t>三、设备功能及主要技术要求（满足或优于）</w:t>
      </w:r>
    </w:p>
    <w:p w14:paraId="598B7200">
      <w:pPr>
        <w:pStyle w:val="7"/>
        <w:widowControl/>
        <w:spacing w:line="360" w:lineRule="auto"/>
        <w:ind w:firstLine="0"/>
        <w:rPr>
          <w:rFonts w:hint="eastAsia" w:ascii="宋体" w:hAnsi="宋体" w:cs="宋体" w:eastAsiaTheme="minorEastAsia"/>
          <w:b w:val="0"/>
          <w:bCs w:val="0"/>
          <w:kern w:val="2"/>
          <w:sz w:val="21"/>
          <w:szCs w:val="22"/>
        </w:rPr>
      </w:pPr>
      <w:r>
        <w:rPr>
          <w:rFonts w:ascii="宋体" w:hAnsi="宋体" w:cs="宋体" w:eastAsiaTheme="minorEastAsia"/>
          <w:b w:val="0"/>
          <w:bCs w:val="0"/>
          <w:kern w:val="2"/>
          <w:sz w:val="21"/>
          <w:szCs w:val="22"/>
        </w:rPr>
        <w:t>（一）、设备用途说明：</w:t>
      </w:r>
    </w:p>
    <w:p w14:paraId="398A3DC3">
      <w:pPr>
        <w:spacing w:line="360" w:lineRule="auto"/>
        <w:ind w:firstLine="420" w:firstLineChars="200"/>
        <w:rPr>
          <w:rFonts w:hint="eastAsia" w:ascii="宋体" w:hAnsi="宋体" w:cs="宋体"/>
        </w:rPr>
      </w:pPr>
      <w:r>
        <w:rPr>
          <w:rFonts w:hint="eastAsia" w:ascii="宋体" w:hAnsi="宋体" w:cs="宋体"/>
        </w:rPr>
        <w:t>用于新生儿听力障碍的早期筛查</w:t>
      </w:r>
      <w:r>
        <w:rPr>
          <w:rFonts w:hint="eastAsia" w:ascii="宋体" w:hAnsi="宋体" w:cs="宋体"/>
          <w:lang w:eastAsia="zh-CN"/>
        </w:rPr>
        <w:t>，</w:t>
      </w:r>
      <w:r>
        <w:rPr>
          <w:rFonts w:hint="eastAsia" w:cs="Times New Roman" w:asciiTheme="minorEastAsia" w:hAnsiTheme="minorEastAsia" w:eastAsiaTheme="minorEastAsia"/>
          <w:i w:val="0"/>
          <w:iCs w:val="0"/>
          <w:caps w:val="0"/>
          <w:color w:val="auto"/>
          <w:spacing w:val="0"/>
          <w:kern w:val="0"/>
          <w:sz w:val="21"/>
          <w:szCs w:val="21"/>
          <w:lang w:val="en-US" w:eastAsia="zh-CN" w:bidi="ar-SA"/>
        </w:rPr>
        <w:t>具备快速、无创、客观、自动判读通过/转诊结果</w:t>
      </w:r>
      <w:r>
        <w:rPr>
          <w:rFonts w:hint="eastAsia" w:cs="Times New Roman" w:asciiTheme="minorEastAsia" w:hAnsiTheme="minorEastAsia"/>
          <w:i w:val="0"/>
          <w:iCs w:val="0"/>
          <w:caps w:val="0"/>
          <w:color w:val="auto"/>
          <w:spacing w:val="0"/>
          <w:kern w:val="0"/>
          <w:sz w:val="21"/>
          <w:szCs w:val="21"/>
          <w:lang w:val="en-US" w:eastAsia="zh-CN" w:bidi="ar-SA"/>
        </w:rPr>
        <w:t>等</w:t>
      </w:r>
      <w:r>
        <w:rPr>
          <w:rFonts w:hint="eastAsia" w:cs="Times New Roman" w:asciiTheme="minorEastAsia" w:hAnsiTheme="minorEastAsia" w:eastAsiaTheme="minorEastAsia"/>
          <w:i w:val="0"/>
          <w:iCs w:val="0"/>
          <w:caps w:val="0"/>
          <w:color w:val="auto"/>
          <w:spacing w:val="0"/>
          <w:kern w:val="0"/>
          <w:sz w:val="21"/>
          <w:szCs w:val="21"/>
          <w:lang w:val="en-US" w:eastAsia="zh-CN" w:bidi="ar-SA"/>
        </w:rPr>
        <w:t>功能</w:t>
      </w:r>
      <w:r>
        <w:rPr>
          <w:rFonts w:hint="eastAsia" w:ascii="宋体" w:hAnsi="宋体" w:cs="宋体"/>
        </w:rPr>
        <w:t>。</w:t>
      </w:r>
    </w:p>
    <w:p w14:paraId="3931869C">
      <w:pPr>
        <w:spacing w:line="360" w:lineRule="auto"/>
        <w:ind w:firstLine="0" w:firstLineChars="0"/>
        <w:rPr>
          <w:rFonts w:hint="eastAsia" w:ascii="宋体" w:hAnsi="宋体" w:cs="宋体"/>
          <w:b w:val="0"/>
          <w:bCs w:val="0"/>
          <w:kern w:val="2"/>
          <w:sz w:val="21"/>
          <w:lang w:bidi="ar-SA"/>
        </w:rPr>
      </w:pPr>
      <w:r>
        <w:rPr>
          <w:rFonts w:hint="eastAsia" w:ascii="宋体" w:hAnsi="宋体" w:cs="宋体"/>
          <w:b w:val="0"/>
          <w:bCs w:val="0"/>
          <w:kern w:val="2"/>
          <w:sz w:val="21"/>
          <w:lang w:bidi="ar-SA"/>
        </w:rPr>
        <w:t>（二）、</w:t>
      </w:r>
      <w:r>
        <w:rPr>
          <w:rFonts w:hint="eastAsia" w:ascii="宋体" w:hAnsi="宋体" w:cs="宋体"/>
          <w:b w:val="0"/>
          <w:bCs w:val="0"/>
        </w:rPr>
        <w:t>设备主要规格、技术要求</w:t>
      </w:r>
      <w:r>
        <w:rPr>
          <w:rFonts w:hint="eastAsia" w:ascii="宋体" w:hAnsi="宋体" w:cs="宋体"/>
          <w:b w:val="0"/>
          <w:bCs w:val="0"/>
          <w:kern w:val="2"/>
          <w:sz w:val="21"/>
          <w:lang w:bidi="ar-SA"/>
        </w:rPr>
        <w:t>（满足或优于）</w:t>
      </w:r>
    </w:p>
    <w:p w14:paraId="58097F75">
      <w:pPr>
        <w:spacing w:line="360" w:lineRule="auto"/>
        <w:rPr>
          <w:rFonts w:hint="eastAsia" w:ascii="宋体" w:hAnsi="宋体" w:cs="宋体"/>
        </w:rPr>
      </w:pPr>
      <w:r>
        <w:rPr>
          <w:rFonts w:hint="eastAsia" w:ascii="宋体" w:hAnsi="宋体" w:cs="宋体"/>
        </w:rPr>
        <w:t>1.1</w:t>
      </w:r>
      <w:r>
        <w:rPr>
          <w:rFonts w:hint="eastAsia" w:ascii="宋体" w:hAnsi="宋体" w:cs="宋体"/>
        </w:rPr>
        <w:tab/>
      </w:r>
      <w:r>
        <w:rPr>
          <w:rFonts w:hint="eastAsia" w:ascii="宋体" w:hAnsi="宋体" w:cs="宋体"/>
        </w:rPr>
        <w:t>整体功能</w:t>
      </w:r>
      <w:r>
        <w:rPr>
          <w:rFonts w:hint="eastAsia" w:ascii="宋体" w:hAnsi="宋体" w:cs="宋体"/>
        </w:rPr>
        <w:tab/>
      </w:r>
    </w:p>
    <w:p w14:paraId="2BEDE903">
      <w:pPr>
        <w:spacing w:line="360" w:lineRule="auto"/>
        <w:rPr>
          <w:rFonts w:hint="eastAsia" w:ascii="宋体" w:hAnsi="宋体" w:cs="宋体"/>
        </w:rPr>
      </w:pPr>
      <w:r>
        <w:rPr>
          <w:rFonts w:hint="eastAsia" w:ascii="宋体" w:hAnsi="宋体" w:cs="宋体"/>
        </w:rPr>
        <w:t>1.1.1</w:t>
      </w:r>
      <w:r>
        <w:rPr>
          <w:rFonts w:hint="eastAsia" w:ascii="宋体" w:hAnsi="宋体" w:cs="宋体"/>
        </w:rPr>
        <w:tab/>
      </w:r>
      <w:r>
        <w:rPr>
          <w:rFonts w:hint="eastAsia" w:ascii="宋体" w:hAnsi="宋体" w:cs="宋体"/>
        </w:rPr>
        <w:t>★ 主机须同时内置瞬态诱发耳声发射（TEOAE）和自动听性脑干反应（AABR）两种筛查测试功能，一体化集成。</w:t>
      </w:r>
      <w:r>
        <w:rPr>
          <w:rFonts w:hint="default" w:ascii="等线" w:hAnsi="等线" w:eastAsia="等线" w:cs="等线"/>
          <w:bCs w:val="0"/>
          <w:kern w:val="2"/>
          <w:sz w:val="21"/>
          <w:szCs w:val="21"/>
        </w:rPr>
        <w:t>（提供厂家技术白皮书或技术说明书或医疗器械注册证等其一即可）</w:t>
      </w:r>
      <w:r>
        <w:rPr>
          <w:rFonts w:hint="eastAsia" w:ascii="宋体" w:hAnsi="宋体" w:cs="宋体"/>
        </w:rPr>
        <w:tab/>
      </w:r>
    </w:p>
    <w:p w14:paraId="51778119">
      <w:pPr>
        <w:spacing w:line="360" w:lineRule="auto"/>
        <w:rPr>
          <w:rFonts w:hint="eastAsia" w:ascii="宋体" w:hAnsi="宋体" w:cs="宋体"/>
        </w:rPr>
      </w:pPr>
      <w:r>
        <w:rPr>
          <w:rFonts w:hint="eastAsia" w:ascii="宋体" w:hAnsi="宋体" w:cs="宋体"/>
        </w:rPr>
        <w:t>1.2</w:t>
      </w:r>
      <w:r>
        <w:rPr>
          <w:rFonts w:hint="eastAsia" w:ascii="宋体" w:hAnsi="宋体" w:cs="宋体"/>
        </w:rPr>
        <w:tab/>
      </w:r>
      <w:r>
        <w:rPr>
          <w:rFonts w:hint="eastAsia" w:ascii="宋体" w:hAnsi="宋体" w:cs="宋体"/>
        </w:rPr>
        <w:t>AABR筛查模块</w:t>
      </w:r>
      <w:r>
        <w:rPr>
          <w:rFonts w:hint="eastAsia" w:ascii="宋体" w:hAnsi="宋体" w:cs="宋体"/>
        </w:rPr>
        <w:tab/>
      </w:r>
    </w:p>
    <w:p w14:paraId="2D73E74A">
      <w:pPr>
        <w:spacing w:line="360" w:lineRule="auto"/>
        <w:rPr>
          <w:rFonts w:hint="eastAsia" w:ascii="宋体" w:hAnsi="宋体" w:cs="宋体"/>
        </w:rPr>
      </w:pPr>
      <w:r>
        <w:rPr>
          <w:rFonts w:hint="eastAsia" w:ascii="宋体" w:hAnsi="宋体" w:cs="宋体"/>
        </w:rPr>
        <w:t>1.2.1</w:t>
      </w:r>
      <w:r>
        <w:rPr>
          <w:rFonts w:hint="eastAsia" w:ascii="宋体" w:hAnsi="宋体" w:cs="宋体"/>
        </w:rPr>
        <w:tab/>
      </w:r>
      <w:r>
        <w:rPr>
          <w:rFonts w:hint="eastAsia" w:ascii="宋体" w:hAnsi="宋体" w:cs="宋体"/>
        </w:rPr>
        <w:t>评估方法：采用噪音加权平均和模板匹配算法进行信号分析与结果判读。</w:t>
      </w:r>
      <w:r>
        <w:rPr>
          <w:rFonts w:hint="eastAsia" w:ascii="宋体" w:hAnsi="宋体" w:cs="宋体"/>
        </w:rPr>
        <w:tab/>
      </w:r>
    </w:p>
    <w:p w14:paraId="315D76AE">
      <w:pPr>
        <w:spacing w:line="360" w:lineRule="auto"/>
        <w:rPr>
          <w:rFonts w:hint="eastAsia" w:ascii="宋体" w:hAnsi="宋体" w:cs="宋体"/>
        </w:rPr>
      </w:pPr>
      <w:r>
        <w:rPr>
          <w:rFonts w:hint="eastAsia" w:ascii="宋体" w:hAnsi="宋体" w:cs="宋体"/>
        </w:rPr>
        <w:t>1.2.2</w:t>
      </w:r>
      <w:r>
        <w:rPr>
          <w:rFonts w:hint="eastAsia" w:ascii="宋体" w:hAnsi="宋体" w:cs="宋体"/>
        </w:rPr>
        <w:tab/>
      </w:r>
      <w:r>
        <w:rPr>
          <w:rFonts w:hint="eastAsia" w:ascii="宋体" w:hAnsi="宋体" w:cs="宋体"/>
        </w:rPr>
        <w:t>刺激声类型：须提供</w:t>
      </w:r>
      <w:r>
        <w:rPr>
          <w:rFonts w:hint="eastAsia" w:ascii="宋体" w:hAnsi="宋体" w:cs="宋体"/>
          <w:lang w:eastAsia="zh-CN"/>
        </w:rPr>
        <w:t>35、40或45dBnHL短声，</w:t>
      </w:r>
      <w:r>
        <w:rPr>
          <w:rFonts w:hint="eastAsia" w:ascii="宋体" w:hAnsi="宋体" w:cs="宋体"/>
        </w:rPr>
        <w:t>强度可选。</w:t>
      </w:r>
      <w:r>
        <w:rPr>
          <w:rFonts w:hint="eastAsia" w:ascii="宋体" w:hAnsi="宋体" w:cs="宋体"/>
        </w:rPr>
        <w:tab/>
      </w:r>
    </w:p>
    <w:p w14:paraId="475A3BB9">
      <w:pPr>
        <w:spacing w:line="360" w:lineRule="auto"/>
        <w:rPr>
          <w:rFonts w:hint="eastAsia" w:ascii="宋体" w:hAnsi="宋体" w:cs="宋体"/>
        </w:rPr>
      </w:pPr>
      <w:r>
        <w:rPr>
          <w:rFonts w:hint="eastAsia" w:ascii="宋体" w:hAnsi="宋体" w:cs="宋体"/>
        </w:rPr>
        <w:t>1.2.3</w:t>
      </w:r>
      <w:r>
        <w:rPr>
          <w:rFonts w:hint="eastAsia" w:ascii="宋体" w:hAnsi="宋体" w:cs="宋体"/>
        </w:rPr>
        <w:tab/>
      </w:r>
      <w:r>
        <w:rPr>
          <w:rFonts w:hint="eastAsia" w:ascii="宋体" w:hAnsi="宋体" w:cs="宋体"/>
        </w:rPr>
        <w:t>点击率：≥ 80 Hz。</w:t>
      </w:r>
      <w:r>
        <w:rPr>
          <w:rFonts w:hint="eastAsia" w:ascii="宋体" w:hAnsi="宋体" w:cs="宋体"/>
        </w:rPr>
        <w:tab/>
      </w:r>
    </w:p>
    <w:p w14:paraId="44725859">
      <w:pPr>
        <w:spacing w:line="360" w:lineRule="auto"/>
        <w:rPr>
          <w:rFonts w:hint="eastAsia" w:ascii="宋体" w:hAnsi="宋体" w:cs="宋体"/>
        </w:rPr>
      </w:pPr>
      <w:r>
        <w:rPr>
          <w:rFonts w:hint="eastAsia" w:ascii="宋体" w:hAnsi="宋体" w:cs="宋体"/>
        </w:rPr>
        <w:t>1.2.4</w:t>
      </w:r>
      <w:r>
        <w:rPr>
          <w:rFonts w:hint="eastAsia" w:ascii="宋体" w:hAnsi="宋体" w:cs="宋体"/>
        </w:rPr>
        <w:tab/>
      </w:r>
      <w:r>
        <w:rPr>
          <w:rFonts w:hint="eastAsia" w:ascii="宋体" w:hAnsi="宋体" w:cs="宋体"/>
        </w:rPr>
        <w:t xml:space="preserve">输入带宽：覆盖 70 Hz ～ </w:t>
      </w:r>
      <w:r>
        <w:rPr>
          <w:rFonts w:hint="eastAsia" w:ascii="宋体" w:hAnsi="宋体" w:cs="宋体"/>
          <w:lang w:val="en-US" w:eastAsia="zh-CN"/>
        </w:rPr>
        <w:t>3</w:t>
      </w:r>
      <w:r>
        <w:rPr>
          <w:rFonts w:hint="eastAsia" w:ascii="宋体" w:hAnsi="宋体" w:cs="宋体"/>
        </w:rPr>
        <w:t xml:space="preserve"> kHz。</w:t>
      </w:r>
      <w:r>
        <w:rPr>
          <w:rFonts w:hint="eastAsia" w:ascii="宋体" w:hAnsi="宋体" w:cs="宋体"/>
        </w:rPr>
        <w:tab/>
      </w:r>
    </w:p>
    <w:p w14:paraId="117C5ABB">
      <w:pPr>
        <w:spacing w:line="360" w:lineRule="auto"/>
        <w:rPr>
          <w:rFonts w:hint="eastAsia" w:ascii="宋体" w:hAnsi="宋体" w:cs="宋体"/>
        </w:rPr>
      </w:pPr>
      <w:r>
        <w:rPr>
          <w:rFonts w:hint="eastAsia" w:ascii="宋体" w:hAnsi="宋体" w:cs="宋体"/>
        </w:rPr>
        <w:t>1.2.5</w:t>
      </w:r>
      <w:r>
        <w:rPr>
          <w:rFonts w:hint="eastAsia" w:ascii="宋体" w:hAnsi="宋体" w:cs="宋体"/>
        </w:rPr>
        <w:tab/>
      </w:r>
      <w:r>
        <w:rPr>
          <w:rFonts w:hint="eastAsia" w:ascii="宋体" w:hAnsi="宋体" w:cs="宋体"/>
        </w:rPr>
        <w:t>阻抗测试范围：覆盖 1 ～ 99 kΩ。</w:t>
      </w:r>
      <w:r>
        <w:rPr>
          <w:rFonts w:hint="eastAsia" w:ascii="宋体" w:hAnsi="宋体" w:cs="宋体"/>
        </w:rPr>
        <w:tab/>
      </w:r>
    </w:p>
    <w:p w14:paraId="0F64A357">
      <w:pPr>
        <w:spacing w:line="360" w:lineRule="auto"/>
        <w:rPr>
          <w:rFonts w:hint="eastAsia" w:ascii="宋体" w:hAnsi="宋体" w:cs="宋体"/>
        </w:rPr>
      </w:pPr>
      <w:r>
        <w:rPr>
          <w:rFonts w:hint="eastAsia" w:ascii="宋体" w:hAnsi="宋体" w:cs="宋体"/>
        </w:rPr>
        <w:t>1.2.6</w:t>
      </w:r>
      <w:r>
        <w:rPr>
          <w:rFonts w:hint="eastAsia" w:ascii="宋体" w:hAnsi="宋体" w:cs="宋体"/>
        </w:rPr>
        <w:tab/>
      </w:r>
      <w:r>
        <w:rPr>
          <w:rFonts w:hint="eastAsia" w:ascii="宋体" w:hAnsi="宋体" w:cs="宋体"/>
        </w:rPr>
        <w:t>主机须内置前置放大器，无需外置放大盒。</w:t>
      </w:r>
      <w:r>
        <w:rPr>
          <w:rFonts w:hint="eastAsia" w:ascii="宋体" w:hAnsi="宋体" w:cs="宋体"/>
        </w:rPr>
        <w:tab/>
      </w:r>
    </w:p>
    <w:p w14:paraId="73728D81">
      <w:pPr>
        <w:spacing w:line="360" w:lineRule="auto"/>
        <w:rPr>
          <w:rFonts w:hint="eastAsia" w:ascii="宋体" w:hAnsi="宋体" w:cs="宋体"/>
        </w:rPr>
      </w:pPr>
      <w:r>
        <w:rPr>
          <w:rFonts w:hint="eastAsia" w:ascii="宋体" w:hAnsi="宋体" w:cs="宋体"/>
        </w:rPr>
        <w:t>1.2.7</w:t>
      </w:r>
      <w:r>
        <w:rPr>
          <w:rFonts w:hint="eastAsia" w:ascii="宋体" w:hAnsi="宋体" w:cs="宋体"/>
        </w:rPr>
        <w:tab/>
      </w:r>
      <w:r>
        <w:rPr>
          <w:rFonts w:hint="eastAsia" w:ascii="宋体" w:hAnsi="宋体" w:cs="宋体"/>
        </w:rPr>
        <w:t>阻抗控制：</w:t>
      </w:r>
      <w:r>
        <w:rPr>
          <w:rFonts w:hint="eastAsia" w:ascii="宋体" w:hAnsi="宋体" w:cs="宋体"/>
          <w:lang w:val="en-US" w:eastAsia="zh-CN"/>
        </w:rPr>
        <w:t>支持</w:t>
      </w:r>
      <w:r>
        <w:rPr>
          <w:rFonts w:hint="eastAsia" w:ascii="宋体" w:hAnsi="宋体" w:cs="宋体"/>
        </w:rPr>
        <w:t>测试前及测试过程中进行阻抗检测。</w:t>
      </w:r>
      <w:r>
        <w:rPr>
          <w:rFonts w:hint="eastAsia" w:ascii="宋体" w:hAnsi="宋体" w:cs="宋体"/>
        </w:rPr>
        <w:tab/>
      </w:r>
    </w:p>
    <w:p w14:paraId="7E57154E">
      <w:pPr>
        <w:spacing w:line="360" w:lineRule="auto"/>
        <w:rPr>
          <w:rFonts w:hint="eastAsia" w:ascii="宋体" w:hAnsi="宋体" w:cs="宋体"/>
        </w:rPr>
      </w:pPr>
      <w:r>
        <w:rPr>
          <w:rFonts w:hint="eastAsia" w:ascii="宋体" w:hAnsi="宋体" w:cs="宋体"/>
        </w:rPr>
        <w:t>1.2.8</w:t>
      </w:r>
      <w:r>
        <w:rPr>
          <w:rFonts w:hint="eastAsia" w:ascii="宋体" w:hAnsi="宋体" w:cs="宋体"/>
        </w:rPr>
        <w:tab/>
      </w:r>
      <w:r>
        <w:rPr>
          <w:rFonts w:hint="eastAsia" w:ascii="宋体" w:hAnsi="宋体" w:cs="宋体"/>
        </w:rPr>
        <w:t>检测方式：可双耳同时给声测试，也可单独选择任意一只耳朵测试。</w:t>
      </w:r>
      <w:r>
        <w:rPr>
          <w:rFonts w:hint="eastAsia" w:ascii="宋体" w:hAnsi="宋体" w:cs="宋体"/>
        </w:rPr>
        <w:tab/>
      </w:r>
    </w:p>
    <w:p w14:paraId="337D6175">
      <w:pPr>
        <w:spacing w:line="360" w:lineRule="auto"/>
        <w:rPr>
          <w:rFonts w:hint="eastAsia" w:ascii="宋体" w:hAnsi="宋体" w:cs="宋体"/>
        </w:rPr>
      </w:pPr>
      <w:r>
        <w:rPr>
          <w:rFonts w:hint="eastAsia" w:ascii="宋体" w:hAnsi="宋体" w:cs="宋体"/>
        </w:rPr>
        <w:t>1.2.9</w:t>
      </w:r>
      <w:r>
        <w:rPr>
          <w:rFonts w:hint="eastAsia" w:ascii="宋体" w:hAnsi="宋体" w:cs="宋体"/>
        </w:rPr>
        <w:tab/>
      </w:r>
      <w:r>
        <w:rPr>
          <w:rFonts w:hint="eastAsia" w:ascii="宋体" w:hAnsi="宋体" w:cs="宋体"/>
        </w:rPr>
        <w:t>检测显示：</w:t>
      </w:r>
      <w:r>
        <w:rPr>
          <w:rFonts w:hint="eastAsia" w:ascii="宋体" w:hAnsi="宋体" w:cs="宋体"/>
          <w:lang w:val="en-US" w:eastAsia="zh-CN"/>
        </w:rPr>
        <w:t>可</w:t>
      </w:r>
      <w:r>
        <w:rPr>
          <w:rFonts w:hint="eastAsia" w:ascii="宋体" w:hAnsi="宋体" w:cs="宋体"/>
        </w:rPr>
        <w:t>同步显示ABR信号检测概率、统计波形图、测试进度、脑电（EEG）水平、阻抗数</w:t>
      </w:r>
      <w:r>
        <w:rPr>
          <w:rFonts w:hint="eastAsia" w:ascii="宋体" w:hAnsi="宋体" w:cs="宋体"/>
        </w:rPr>
        <w:tab/>
      </w:r>
    </w:p>
    <w:p w14:paraId="5F97DE7F">
      <w:pPr>
        <w:spacing w:line="360" w:lineRule="auto"/>
        <w:rPr>
          <w:rFonts w:hint="eastAsia" w:ascii="宋体" w:hAnsi="宋体" w:cs="宋体"/>
        </w:rPr>
      </w:pPr>
      <w:r>
        <w:rPr>
          <w:rFonts w:hint="eastAsia" w:ascii="宋体" w:hAnsi="宋体" w:cs="宋体"/>
        </w:rPr>
        <w:t>1.2.10</w:t>
      </w:r>
      <w:r>
        <w:rPr>
          <w:rFonts w:hint="eastAsia" w:ascii="宋体" w:hAnsi="宋体" w:cs="宋体"/>
        </w:rPr>
        <w:tab/>
      </w:r>
      <w:r>
        <w:rPr>
          <w:rFonts w:hint="eastAsia" w:ascii="宋体" w:hAnsi="宋体" w:cs="宋体"/>
        </w:rPr>
        <w:t>主机须内置校准腔，可随时进行日常校准。</w:t>
      </w:r>
      <w:r>
        <w:rPr>
          <w:rFonts w:hint="eastAsia" w:ascii="宋体" w:hAnsi="宋体" w:cs="宋体"/>
        </w:rPr>
        <w:tab/>
      </w:r>
      <w:r>
        <w:rPr>
          <w:rFonts w:hint="eastAsia" w:ascii="宋体" w:hAnsi="宋体" w:cs="宋体"/>
        </w:rPr>
        <w:tab/>
      </w:r>
    </w:p>
    <w:p w14:paraId="0610BACC">
      <w:pPr>
        <w:spacing w:line="360" w:lineRule="auto"/>
        <w:rPr>
          <w:rFonts w:hint="eastAsia" w:ascii="宋体" w:hAnsi="宋体" w:cs="宋体"/>
        </w:rPr>
      </w:pPr>
      <w:r>
        <w:rPr>
          <w:rFonts w:hint="eastAsia" w:ascii="宋体" w:hAnsi="宋体" w:cs="宋体"/>
        </w:rPr>
        <w:t>1.2.1</w:t>
      </w:r>
      <w:r>
        <w:rPr>
          <w:rFonts w:hint="eastAsia" w:ascii="宋体" w:hAnsi="宋体" w:cs="宋体"/>
          <w:lang w:val="en-US" w:eastAsia="zh-CN"/>
        </w:rPr>
        <w:t>1</w:t>
      </w:r>
      <w:r>
        <w:rPr>
          <w:rFonts w:hint="eastAsia" w:ascii="宋体" w:hAnsi="宋体" w:cs="宋体"/>
        </w:rPr>
        <w:tab/>
      </w:r>
      <w:r>
        <w:rPr>
          <w:rFonts w:hint="eastAsia" w:ascii="宋体" w:hAnsi="宋体" w:cs="宋体"/>
        </w:rPr>
        <w:t>测试用时</w:t>
      </w:r>
      <w:r>
        <w:rPr>
          <w:rFonts w:hint="default" w:ascii="Arial" w:hAnsi="Arial" w:cs="Arial"/>
        </w:rPr>
        <w:t>≤</w:t>
      </w:r>
      <w:r>
        <w:rPr>
          <w:rFonts w:hint="eastAsia" w:ascii="宋体" w:hAnsi="宋体" w:cs="宋体"/>
          <w:lang w:val="en-US" w:eastAsia="zh-CN"/>
        </w:rPr>
        <w:t>180秒，支持</w:t>
      </w:r>
      <w:r>
        <w:rPr>
          <w:rFonts w:hint="eastAsia" w:ascii="宋体" w:hAnsi="宋体" w:cs="宋体"/>
        </w:rPr>
        <w:t>标准测试和快速测试两种可选模式。</w:t>
      </w:r>
      <w:r>
        <w:rPr>
          <w:rFonts w:hint="eastAsia" w:ascii="宋体" w:hAnsi="宋体" w:cs="宋体"/>
        </w:rPr>
        <w:tab/>
      </w:r>
    </w:p>
    <w:p w14:paraId="112A7A55">
      <w:pPr>
        <w:spacing w:line="360" w:lineRule="auto"/>
        <w:rPr>
          <w:rFonts w:hint="eastAsia" w:ascii="宋体" w:hAnsi="宋体" w:cs="宋体"/>
        </w:rPr>
      </w:pPr>
      <w:r>
        <w:rPr>
          <w:rFonts w:hint="eastAsia" w:ascii="宋体" w:hAnsi="宋体" w:cs="宋体"/>
        </w:rPr>
        <w:t>1.3</w:t>
      </w:r>
      <w:r>
        <w:rPr>
          <w:rFonts w:hint="eastAsia" w:ascii="宋体" w:hAnsi="宋体" w:cs="宋体"/>
        </w:rPr>
        <w:tab/>
      </w:r>
      <w:r>
        <w:rPr>
          <w:rFonts w:hint="eastAsia" w:ascii="宋体" w:hAnsi="宋体" w:cs="宋体"/>
        </w:rPr>
        <w:t>TEOAE筛查模块</w:t>
      </w:r>
      <w:r>
        <w:rPr>
          <w:rFonts w:hint="eastAsia" w:ascii="宋体" w:hAnsi="宋体" w:cs="宋体"/>
        </w:rPr>
        <w:tab/>
      </w:r>
    </w:p>
    <w:p w14:paraId="7D32A3D3">
      <w:pPr>
        <w:spacing w:line="360" w:lineRule="auto"/>
        <w:rPr>
          <w:rFonts w:hint="eastAsia" w:ascii="宋体" w:hAnsi="宋体" w:cs="宋体"/>
        </w:rPr>
      </w:pPr>
      <w:r>
        <w:rPr>
          <w:rFonts w:hint="eastAsia" w:ascii="宋体" w:hAnsi="宋体" w:cs="宋体"/>
        </w:rPr>
        <w:t>1.3.1</w:t>
      </w:r>
      <w:r>
        <w:rPr>
          <w:rFonts w:hint="eastAsia" w:ascii="宋体" w:hAnsi="宋体" w:cs="宋体"/>
        </w:rPr>
        <w:tab/>
      </w:r>
      <w:r>
        <w:rPr>
          <w:rFonts w:hint="eastAsia" w:ascii="宋体" w:hAnsi="宋体" w:cs="宋体"/>
        </w:rPr>
        <w:t>评估方法：采用噪音加权平均和有效信号峰值计数进行结果判读。</w:t>
      </w:r>
      <w:r>
        <w:rPr>
          <w:rFonts w:hint="eastAsia" w:ascii="宋体" w:hAnsi="宋体" w:cs="宋体"/>
        </w:rPr>
        <w:tab/>
      </w:r>
    </w:p>
    <w:p w14:paraId="72EFC67E">
      <w:pPr>
        <w:spacing w:line="360" w:lineRule="auto"/>
        <w:rPr>
          <w:rFonts w:hint="eastAsia" w:ascii="宋体" w:hAnsi="宋体" w:cs="宋体"/>
        </w:rPr>
      </w:pPr>
      <w:r>
        <w:rPr>
          <w:rFonts w:hint="eastAsia" w:ascii="宋体" w:hAnsi="宋体" w:cs="宋体"/>
        </w:rPr>
        <w:t>1.3.2</w:t>
      </w:r>
      <w:r>
        <w:rPr>
          <w:rFonts w:hint="eastAsia" w:ascii="宋体" w:hAnsi="宋体" w:cs="宋体"/>
        </w:rPr>
        <w:tab/>
      </w:r>
      <w:r>
        <w:rPr>
          <w:rFonts w:hint="eastAsia" w:ascii="宋体" w:hAnsi="宋体" w:cs="宋体"/>
        </w:rPr>
        <w:t>刺激声类型：非线性点击序列。</w:t>
      </w:r>
      <w:r>
        <w:rPr>
          <w:rFonts w:hint="eastAsia" w:ascii="宋体" w:hAnsi="宋体" w:cs="宋体"/>
        </w:rPr>
        <w:tab/>
      </w:r>
    </w:p>
    <w:p w14:paraId="09C0E32B">
      <w:pPr>
        <w:spacing w:line="360" w:lineRule="auto"/>
        <w:rPr>
          <w:rFonts w:hint="eastAsia" w:ascii="宋体" w:hAnsi="宋体" w:cs="宋体"/>
        </w:rPr>
      </w:pPr>
      <w:r>
        <w:rPr>
          <w:rFonts w:hint="eastAsia" w:ascii="宋体" w:hAnsi="宋体" w:cs="宋体"/>
        </w:rPr>
        <w:t>1.3.3</w:t>
      </w:r>
      <w:r>
        <w:rPr>
          <w:rFonts w:hint="eastAsia" w:ascii="宋体" w:hAnsi="宋体" w:cs="宋体"/>
        </w:rPr>
        <w:tab/>
      </w:r>
      <w:r>
        <w:rPr>
          <w:rFonts w:hint="eastAsia" w:ascii="宋体" w:hAnsi="宋体" w:cs="宋体"/>
        </w:rPr>
        <w:t>刺激声音量：覆盖70 ～ 8</w:t>
      </w:r>
      <w:r>
        <w:rPr>
          <w:rFonts w:hint="eastAsia" w:ascii="宋体" w:hAnsi="宋体" w:cs="宋体"/>
          <w:lang w:val="en-US" w:eastAsia="zh-CN"/>
        </w:rPr>
        <w:t>0</w:t>
      </w:r>
      <w:r>
        <w:rPr>
          <w:rFonts w:hint="eastAsia" w:ascii="宋体" w:hAnsi="宋体" w:cs="宋体"/>
        </w:rPr>
        <w:t xml:space="preserve"> dB SPL，且可根据耳道容积自动校准。</w:t>
      </w:r>
      <w:r>
        <w:rPr>
          <w:rFonts w:hint="eastAsia" w:ascii="宋体" w:hAnsi="宋体" w:cs="宋体"/>
        </w:rPr>
        <w:tab/>
      </w:r>
    </w:p>
    <w:p w14:paraId="0716801F">
      <w:pPr>
        <w:spacing w:line="360" w:lineRule="auto"/>
        <w:rPr>
          <w:rFonts w:hint="eastAsia" w:ascii="宋体" w:hAnsi="宋体" w:cs="宋体"/>
        </w:rPr>
      </w:pPr>
      <w:r>
        <w:rPr>
          <w:rFonts w:hint="eastAsia" w:ascii="宋体" w:hAnsi="宋体" w:cs="宋体"/>
        </w:rPr>
        <w:t>1.3.4</w:t>
      </w:r>
      <w:r>
        <w:rPr>
          <w:rFonts w:hint="eastAsia" w:ascii="宋体" w:hAnsi="宋体" w:cs="宋体"/>
        </w:rPr>
        <w:tab/>
      </w:r>
      <w:r>
        <w:rPr>
          <w:rFonts w:hint="eastAsia" w:ascii="宋体" w:hAnsi="宋体" w:cs="宋体"/>
        </w:rPr>
        <w:t>点击率：≥ 60 Hz。</w:t>
      </w:r>
      <w:r>
        <w:rPr>
          <w:rFonts w:hint="eastAsia" w:ascii="宋体" w:hAnsi="宋体" w:cs="宋体"/>
        </w:rPr>
        <w:tab/>
      </w:r>
    </w:p>
    <w:p w14:paraId="09FEDA26">
      <w:pPr>
        <w:spacing w:line="360" w:lineRule="auto"/>
        <w:rPr>
          <w:rFonts w:hint="eastAsia" w:ascii="宋体" w:hAnsi="宋体" w:cs="宋体"/>
        </w:rPr>
      </w:pPr>
      <w:r>
        <w:rPr>
          <w:rFonts w:hint="eastAsia" w:ascii="宋体" w:hAnsi="宋体" w:cs="宋体"/>
        </w:rPr>
        <w:t>1.3.5</w:t>
      </w:r>
      <w:r>
        <w:rPr>
          <w:rFonts w:hint="eastAsia" w:ascii="宋体" w:hAnsi="宋体" w:cs="宋体"/>
        </w:rPr>
        <w:tab/>
      </w:r>
      <w:r>
        <w:rPr>
          <w:rFonts w:hint="eastAsia" w:ascii="宋体" w:hAnsi="宋体" w:cs="宋体"/>
        </w:rPr>
        <w:t>频率范围：覆盖 1.5 kHz ～ 4kHz。</w:t>
      </w:r>
      <w:r>
        <w:rPr>
          <w:rFonts w:hint="eastAsia" w:ascii="宋体" w:hAnsi="宋体" w:cs="宋体"/>
        </w:rPr>
        <w:tab/>
      </w:r>
    </w:p>
    <w:p w14:paraId="7E200AEC">
      <w:pPr>
        <w:spacing w:line="360" w:lineRule="auto"/>
        <w:rPr>
          <w:rFonts w:hint="eastAsia" w:ascii="宋体" w:hAnsi="宋体" w:cs="宋体"/>
        </w:rPr>
      </w:pPr>
      <w:r>
        <w:rPr>
          <w:rFonts w:hint="eastAsia" w:ascii="宋体" w:hAnsi="宋体" w:cs="宋体"/>
        </w:rPr>
        <w:t>1.3.6</w:t>
      </w:r>
      <w:r>
        <w:rPr>
          <w:rFonts w:hint="eastAsia" w:ascii="宋体" w:hAnsi="宋体" w:cs="宋体"/>
        </w:rPr>
        <w:tab/>
      </w:r>
      <w:r>
        <w:rPr>
          <w:rFonts w:hint="eastAsia" w:ascii="宋体" w:hAnsi="宋体" w:cs="宋体"/>
        </w:rPr>
        <w:t>屏幕显示：须实时显示统计波形、测量进度、TEOAE检测水平及噪音音量。</w:t>
      </w:r>
      <w:r>
        <w:rPr>
          <w:rFonts w:hint="eastAsia" w:ascii="宋体" w:hAnsi="宋体" w:cs="宋体"/>
        </w:rPr>
        <w:tab/>
      </w:r>
    </w:p>
    <w:p w14:paraId="75DE64E9">
      <w:pPr>
        <w:spacing w:line="360" w:lineRule="auto"/>
        <w:rPr>
          <w:rFonts w:hint="eastAsia" w:ascii="宋体" w:hAnsi="宋体" w:cs="宋体"/>
        </w:rPr>
      </w:pPr>
      <w:r>
        <w:rPr>
          <w:rFonts w:hint="eastAsia" w:ascii="宋体" w:hAnsi="宋体" w:cs="宋体"/>
        </w:rPr>
        <w:t>1.4</w:t>
      </w:r>
      <w:r>
        <w:rPr>
          <w:rFonts w:hint="eastAsia" w:ascii="宋体" w:hAnsi="宋体" w:cs="宋体"/>
        </w:rPr>
        <w:tab/>
      </w:r>
      <w:r>
        <w:rPr>
          <w:rFonts w:hint="eastAsia" w:ascii="宋体" w:hAnsi="宋体" w:cs="宋体"/>
        </w:rPr>
        <w:t>人机交互与数据管理</w:t>
      </w:r>
      <w:r>
        <w:rPr>
          <w:rFonts w:hint="eastAsia" w:ascii="宋体" w:hAnsi="宋体" w:cs="宋体"/>
        </w:rPr>
        <w:tab/>
      </w:r>
    </w:p>
    <w:p w14:paraId="6ECE9447">
      <w:pPr>
        <w:spacing w:line="360" w:lineRule="auto"/>
        <w:rPr>
          <w:rFonts w:hint="eastAsia" w:ascii="宋体" w:hAnsi="宋体" w:cs="宋体"/>
        </w:rPr>
      </w:pPr>
      <w:r>
        <w:rPr>
          <w:rFonts w:hint="eastAsia" w:ascii="宋体" w:hAnsi="宋体" w:cs="宋体"/>
        </w:rPr>
        <w:t>1.4.1</w:t>
      </w:r>
      <w:r>
        <w:rPr>
          <w:rFonts w:hint="eastAsia" w:ascii="宋体" w:hAnsi="宋体" w:cs="宋体"/>
        </w:rPr>
        <w:tab/>
      </w:r>
      <w:r>
        <w:rPr>
          <w:rFonts w:hint="default" w:ascii="宋体" w:hAnsi="宋体" w:cs="宋体"/>
        </w:rPr>
        <w:t>医学监视</w:t>
      </w:r>
      <w:r>
        <w:rPr>
          <w:rFonts w:hint="eastAsia" w:ascii="宋体" w:hAnsi="宋体" w:cs="宋体"/>
        </w:rPr>
        <w:t>屏：≥ 3.5英寸彩色液晶触摸屏，支持中文界面。</w:t>
      </w:r>
      <w:r>
        <w:rPr>
          <w:rFonts w:hint="eastAsia" w:ascii="宋体" w:hAnsi="宋体" w:cs="宋体"/>
        </w:rPr>
        <w:tab/>
      </w:r>
    </w:p>
    <w:p w14:paraId="156CAC93">
      <w:pPr>
        <w:spacing w:line="360" w:lineRule="auto"/>
        <w:rPr>
          <w:rFonts w:hint="eastAsia" w:ascii="宋体" w:hAnsi="宋体" w:cs="宋体"/>
        </w:rPr>
      </w:pPr>
      <w:r>
        <w:rPr>
          <w:rFonts w:hint="eastAsia" w:ascii="宋体" w:hAnsi="宋体" w:cs="宋体"/>
        </w:rPr>
        <w:t>1.4.</w:t>
      </w:r>
      <w:r>
        <w:rPr>
          <w:rFonts w:hint="eastAsia" w:ascii="宋体" w:hAnsi="宋体" w:cs="宋体"/>
          <w:lang w:val="en-US" w:eastAsia="zh-CN"/>
        </w:rPr>
        <w:t>2</w:t>
      </w:r>
      <w:r>
        <w:rPr>
          <w:rFonts w:hint="eastAsia" w:ascii="宋体" w:hAnsi="宋体" w:cs="宋体"/>
        </w:rPr>
        <w:tab/>
      </w:r>
      <w:r>
        <w:rPr>
          <w:rFonts w:hint="eastAsia" w:ascii="宋体" w:hAnsi="宋体" w:cs="宋体"/>
        </w:rPr>
        <w:t>主机患者信息存储容量 ≥ 250名患者；测试数据存储容量 ≥ 500个测试结果。</w:t>
      </w:r>
    </w:p>
    <w:p w14:paraId="0C79B79A">
      <w:pPr>
        <w:spacing w:line="360" w:lineRule="auto"/>
        <w:rPr>
          <w:rFonts w:hint="eastAsia" w:ascii="宋体" w:hAnsi="宋体" w:cs="宋体"/>
        </w:rPr>
      </w:pPr>
      <w:r>
        <w:rPr>
          <w:rFonts w:hint="eastAsia" w:ascii="宋体" w:hAnsi="宋体" w:cs="宋体"/>
        </w:rPr>
        <w:t>1.4.</w:t>
      </w:r>
      <w:r>
        <w:rPr>
          <w:rFonts w:hint="eastAsia" w:ascii="宋体" w:hAnsi="宋体" w:cs="宋体"/>
          <w:lang w:val="en-US" w:eastAsia="zh-CN"/>
        </w:rPr>
        <w:t>3</w:t>
      </w:r>
      <w:r>
        <w:rPr>
          <w:rFonts w:hint="eastAsia" w:ascii="宋体" w:hAnsi="宋体" w:cs="宋体"/>
        </w:rPr>
        <w:tab/>
      </w:r>
      <w:r>
        <w:rPr>
          <w:rFonts w:hint="eastAsia" w:ascii="宋体" w:hAnsi="宋体" w:cs="宋体"/>
        </w:rPr>
        <w:t>支持数据导出、报告编辑与打印，报告模板可自定义编辑和存储。</w:t>
      </w:r>
      <w:r>
        <w:rPr>
          <w:rFonts w:hint="eastAsia" w:ascii="宋体" w:hAnsi="宋体" w:cs="宋体"/>
        </w:rPr>
        <w:tab/>
      </w:r>
    </w:p>
    <w:p w14:paraId="532EF151">
      <w:pPr>
        <w:spacing w:line="360" w:lineRule="auto"/>
        <w:rPr>
          <w:rFonts w:hint="eastAsia" w:ascii="宋体" w:hAnsi="宋体" w:cs="宋体"/>
        </w:rPr>
      </w:pPr>
      <w:r>
        <w:rPr>
          <w:rFonts w:hint="eastAsia" w:ascii="宋体" w:hAnsi="宋体" w:cs="宋体"/>
        </w:rPr>
        <w:t>1.5</w:t>
      </w:r>
      <w:r>
        <w:rPr>
          <w:rFonts w:hint="eastAsia" w:ascii="宋体" w:hAnsi="宋体" w:cs="宋体"/>
        </w:rPr>
        <w:tab/>
      </w:r>
      <w:r>
        <w:rPr>
          <w:rFonts w:hint="eastAsia" w:ascii="宋体" w:hAnsi="宋体" w:cs="宋体"/>
        </w:rPr>
        <w:t>设备寿命</w:t>
      </w:r>
      <w:r>
        <w:rPr>
          <w:rFonts w:hint="eastAsia" w:ascii="宋体" w:hAnsi="宋体" w:cs="宋体"/>
          <w:lang w:eastAsia="zh-CN"/>
        </w:rPr>
        <w:t>：</w:t>
      </w:r>
      <w:r>
        <w:rPr>
          <w:rFonts w:hint="eastAsia" w:ascii="宋体" w:hAnsi="宋体" w:cs="宋体"/>
        </w:rPr>
        <w:t>设备设计使用年限：≥ 5年（</w:t>
      </w:r>
      <w:r>
        <w:rPr>
          <w:rFonts w:hint="eastAsia" w:ascii="宋体" w:hAnsi="宋体" w:cs="宋体"/>
          <w:b/>
          <w:bCs/>
        </w:rPr>
        <w:t>须提供设备铭牌照片或说明书等佐证材料</w:t>
      </w:r>
      <w:r>
        <w:rPr>
          <w:rFonts w:hint="eastAsia" w:ascii="宋体" w:hAnsi="宋体" w:cs="宋体"/>
        </w:rPr>
        <w:t>）。</w:t>
      </w:r>
    </w:p>
    <w:p w14:paraId="70AF98FF">
      <w:pPr>
        <w:spacing w:line="360" w:lineRule="auto"/>
        <w:rPr>
          <w:rFonts w:hint="eastAsia" w:ascii="宋体" w:hAnsi="宋体" w:cs="宋体"/>
          <w:b/>
          <w:bCs/>
        </w:rPr>
      </w:pPr>
    </w:p>
    <w:p w14:paraId="05811C6D">
      <w:pPr>
        <w:pStyle w:val="15"/>
        <w:numPr>
          <w:ilvl w:val="-1"/>
          <w:numId w:val="0"/>
        </w:numPr>
        <w:tabs>
          <w:tab w:val="left" w:pos="709"/>
        </w:tabs>
        <w:ind w:left="0" w:firstLine="0" w:firstLineChars="0"/>
        <w:rPr>
          <w:rFonts w:hint="eastAsia" w:ascii="宋体" w:hAnsi="宋体" w:cs="宋体" w:eastAsiaTheme="minorEastAsia"/>
          <w:b/>
          <w:bCs/>
          <w:szCs w:val="22"/>
        </w:rPr>
      </w:pPr>
      <w:r>
        <w:rPr>
          <w:rFonts w:hint="eastAsia" w:ascii="宋体" w:hAnsi="宋体" w:cs="宋体"/>
          <w:b/>
          <w:bCs/>
          <w:szCs w:val="22"/>
          <w:lang w:eastAsia="zh-CN"/>
        </w:rPr>
        <w:t>四、</w:t>
      </w:r>
      <w:r>
        <w:rPr>
          <w:rFonts w:hint="eastAsia" w:ascii="宋体" w:hAnsi="宋体" w:cs="宋体" w:eastAsiaTheme="minorEastAsia"/>
          <w:b/>
          <w:bCs/>
          <w:szCs w:val="22"/>
        </w:rPr>
        <w:t>商务要求</w:t>
      </w:r>
    </w:p>
    <w:p w14:paraId="1A139A04">
      <w:pPr>
        <w:adjustRightInd w:val="0"/>
        <w:snapToGrid w:val="0"/>
        <w:spacing w:line="360" w:lineRule="auto"/>
        <w:ind w:firstLine="283" w:firstLineChars="135"/>
        <w:rPr>
          <w:rFonts w:hint="eastAsia" w:ascii="宋体" w:hAnsi="宋体" w:cs="宋体"/>
          <w:b w:val="0"/>
        </w:rPr>
      </w:pPr>
      <w:r>
        <w:rPr>
          <w:rFonts w:hint="eastAsia" w:ascii="宋体" w:hAnsi="宋体" w:cs="宋体"/>
          <w:b w:val="0"/>
        </w:rPr>
        <w:t>（一）供货要求</w:t>
      </w:r>
    </w:p>
    <w:p w14:paraId="622F0B92">
      <w:pPr>
        <w:adjustRightInd w:val="0"/>
        <w:snapToGrid w:val="0"/>
        <w:spacing w:line="360" w:lineRule="auto"/>
        <w:ind w:firstLine="420" w:firstLineChars="200"/>
        <w:rPr>
          <w:rFonts w:hint="eastAsia" w:ascii="宋体" w:hAnsi="宋体" w:cs="宋体"/>
        </w:rPr>
      </w:pPr>
      <w:r>
        <w:rPr>
          <w:rFonts w:hint="eastAsia" w:ascii="宋体" w:hAnsi="宋体" w:cs="宋体"/>
        </w:rPr>
        <w:t>1. 交货期：签订合同后30日历天内。</w:t>
      </w:r>
    </w:p>
    <w:p w14:paraId="5D37692F">
      <w:pPr>
        <w:adjustRightInd w:val="0"/>
        <w:snapToGrid w:val="0"/>
        <w:spacing w:line="360" w:lineRule="auto"/>
        <w:ind w:firstLine="420" w:firstLineChars="200"/>
        <w:rPr>
          <w:rFonts w:hint="eastAsia" w:ascii="宋体" w:hAnsi="宋体" w:cs="宋体"/>
        </w:rPr>
      </w:pPr>
      <w:r>
        <w:rPr>
          <w:rFonts w:hint="eastAsia" w:ascii="宋体" w:hAnsi="宋体" w:cs="宋体"/>
        </w:rPr>
        <w:t>2. 交货地点：采购人指定地点。</w:t>
      </w:r>
    </w:p>
    <w:p w14:paraId="26CD8F45">
      <w:pPr>
        <w:adjustRightInd w:val="0"/>
        <w:snapToGrid w:val="0"/>
        <w:spacing w:line="360" w:lineRule="auto"/>
        <w:ind w:firstLine="420" w:firstLineChars="200"/>
        <w:rPr>
          <w:rFonts w:hint="eastAsia" w:ascii="宋体" w:hAnsi="宋体" w:cs="宋体"/>
          <w:b w:val="0"/>
        </w:rPr>
      </w:pPr>
      <w:r>
        <w:rPr>
          <w:rFonts w:hint="eastAsia" w:ascii="宋体" w:hAnsi="宋体" w:cs="宋体"/>
          <w:b w:val="0"/>
        </w:rPr>
        <w:t>（二）安装与调试</w:t>
      </w:r>
    </w:p>
    <w:p w14:paraId="0CB558E1">
      <w:pPr>
        <w:adjustRightInd w:val="0"/>
        <w:snapToGrid w:val="0"/>
        <w:spacing w:line="360" w:lineRule="auto"/>
        <w:ind w:firstLine="420" w:firstLineChars="200"/>
        <w:rPr>
          <w:rFonts w:hint="eastAsia" w:ascii="宋体" w:hAnsi="宋体" w:cs="宋体"/>
        </w:rPr>
      </w:pPr>
      <w:r>
        <w:rPr>
          <w:rFonts w:hint="eastAsia" w:ascii="宋体" w:hAnsi="宋体" w:cs="宋体"/>
        </w:rPr>
        <w:t>1. 中标人必须按项目进度安排计划，派出适当的技术人员到安装现场负责安装和调试工作。在安装施工期间，严格遵守采购人的有关规定。</w:t>
      </w:r>
    </w:p>
    <w:p w14:paraId="2D29FE59">
      <w:pPr>
        <w:adjustRightInd w:val="0"/>
        <w:snapToGrid w:val="0"/>
        <w:spacing w:line="360" w:lineRule="auto"/>
        <w:ind w:firstLine="420" w:firstLineChars="200"/>
        <w:rPr>
          <w:rFonts w:hint="eastAsia" w:ascii="宋体" w:hAnsi="宋体" w:cs="宋体"/>
        </w:rPr>
      </w:pPr>
      <w:r>
        <w:rPr>
          <w:rFonts w:hint="eastAsia" w:ascii="宋体" w:hAnsi="宋体" w:cs="宋体"/>
        </w:rPr>
        <w:t>2. 中标人必须依照招标文件的要求和投标文件的承诺，将设备、系统安装并调试至正常运行的最佳状态。</w:t>
      </w:r>
    </w:p>
    <w:p w14:paraId="6CAD849C">
      <w:pPr>
        <w:adjustRightInd w:val="0"/>
        <w:snapToGrid w:val="0"/>
        <w:spacing w:line="360" w:lineRule="auto"/>
        <w:ind w:firstLine="420" w:firstLineChars="200"/>
        <w:rPr>
          <w:rFonts w:hint="eastAsia" w:ascii="宋体" w:hAnsi="宋体" w:cs="宋体"/>
          <w:b w:val="0"/>
        </w:rPr>
      </w:pPr>
      <w:r>
        <w:rPr>
          <w:rFonts w:hint="eastAsia" w:ascii="宋体" w:hAnsi="宋体" w:cs="宋体"/>
          <w:b w:val="0"/>
        </w:rPr>
        <w:t>（三）技术培训</w:t>
      </w:r>
    </w:p>
    <w:p w14:paraId="554994A1">
      <w:pPr>
        <w:adjustRightInd w:val="0"/>
        <w:snapToGrid w:val="0"/>
        <w:spacing w:line="360" w:lineRule="auto"/>
        <w:ind w:firstLine="420" w:firstLineChars="200"/>
        <w:rPr>
          <w:rFonts w:hint="eastAsia" w:ascii="宋体" w:hAnsi="宋体" w:cs="宋体"/>
        </w:rPr>
      </w:pPr>
      <w:r>
        <w:rPr>
          <w:rFonts w:hint="eastAsia" w:ascii="宋体" w:hAnsi="宋体" w:cs="宋体"/>
        </w:rPr>
        <w:t>1. 中标人每台设备提供现场安装调试和培训。</w:t>
      </w:r>
    </w:p>
    <w:p w14:paraId="76CD6DD0">
      <w:pPr>
        <w:adjustRightInd w:val="0"/>
        <w:snapToGrid w:val="0"/>
        <w:spacing w:line="360" w:lineRule="auto"/>
        <w:ind w:firstLine="420" w:firstLineChars="200"/>
        <w:rPr>
          <w:rFonts w:hint="eastAsia" w:ascii="宋体" w:hAnsi="宋体" w:cs="宋体"/>
        </w:rPr>
      </w:pPr>
      <w:r>
        <w:rPr>
          <w:rFonts w:hint="eastAsia" w:ascii="宋体" w:hAnsi="宋体" w:cs="宋体"/>
        </w:rPr>
        <w:t>2. 应提供完整的培训计划和方案，列明培训人员数量、达到的水平等，培训内容包括设备的操作、日常维修、简单故障的识别及排除等。培训所需全部费用均由中标人支付。</w:t>
      </w:r>
    </w:p>
    <w:p w14:paraId="57D98091">
      <w:pPr>
        <w:adjustRightInd w:val="0"/>
        <w:snapToGrid w:val="0"/>
        <w:spacing w:line="360" w:lineRule="auto"/>
        <w:ind w:firstLine="420" w:firstLineChars="200"/>
        <w:rPr>
          <w:rFonts w:hint="eastAsia" w:ascii="宋体" w:hAnsi="宋体" w:cs="宋体"/>
          <w:b w:val="0"/>
        </w:rPr>
      </w:pPr>
      <w:r>
        <w:rPr>
          <w:rFonts w:hint="eastAsia" w:ascii="宋体" w:hAnsi="宋体" w:cs="宋体"/>
          <w:b w:val="0"/>
        </w:rPr>
        <w:t>（四）保修期</w:t>
      </w:r>
    </w:p>
    <w:p w14:paraId="3E25125F">
      <w:pPr>
        <w:adjustRightInd w:val="0"/>
        <w:snapToGrid w:val="0"/>
        <w:spacing w:line="360" w:lineRule="auto"/>
        <w:ind w:firstLine="420" w:firstLineChars="200"/>
        <w:rPr>
          <w:rFonts w:hint="eastAsia" w:ascii="宋体" w:hAnsi="宋体" w:cs="宋体"/>
        </w:rPr>
      </w:pPr>
      <w:r>
        <w:rPr>
          <w:rFonts w:hint="eastAsia" w:ascii="宋体" w:hAnsi="宋体" w:cs="宋体"/>
        </w:rPr>
        <w:t xml:space="preserve">1.  </w:t>
      </w:r>
      <w:r>
        <w:rPr>
          <w:rFonts w:hint="eastAsia" w:ascii="宋体" w:hAnsi="宋体" w:cs="宋体"/>
          <w:b w:val="0"/>
          <w:bCs w:val="0"/>
        </w:rPr>
        <w:t>验收合格之日起设备</w:t>
      </w:r>
      <w:r>
        <w:rPr>
          <w:rFonts w:hint="eastAsia" w:ascii="宋体" w:hAnsi="宋体" w:cs="宋体"/>
          <w:b w:val="0"/>
          <w:bCs w:val="0"/>
          <w:lang w:val="en-US" w:eastAsia="zh-CN"/>
        </w:rPr>
        <w:t>整机</w:t>
      </w:r>
      <w:r>
        <w:rPr>
          <w:rFonts w:hint="eastAsia" w:ascii="宋体" w:hAnsi="宋体" w:cs="宋体"/>
          <w:b w:val="0"/>
          <w:bCs w:val="0"/>
        </w:rPr>
        <w:t>保修期：不少于</w:t>
      </w:r>
      <w:r>
        <w:rPr>
          <w:rFonts w:hint="eastAsia" w:ascii="宋体" w:hAnsi="宋体" w:cs="宋体"/>
          <w:b w:val="0"/>
          <w:bCs w:val="0"/>
          <w:lang w:val="en-US" w:eastAsia="zh-CN"/>
        </w:rPr>
        <w:t>3</w:t>
      </w:r>
      <w:r>
        <w:rPr>
          <w:rFonts w:hint="eastAsia" w:ascii="宋体" w:hAnsi="宋体" w:cs="宋体"/>
          <w:b w:val="0"/>
          <w:bCs w:val="0"/>
        </w:rPr>
        <w:t>年。</w:t>
      </w:r>
    </w:p>
    <w:p w14:paraId="67D3AE2F">
      <w:pPr>
        <w:adjustRightInd w:val="0"/>
        <w:snapToGrid w:val="0"/>
        <w:spacing w:line="360" w:lineRule="auto"/>
        <w:ind w:firstLine="420" w:firstLineChars="200"/>
        <w:rPr>
          <w:rFonts w:hint="eastAsia" w:ascii="宋体" w:hAnsi="宋体" w:cs="宋体"/>
        </w:rPr>
      </w:pPr>
      <w:r>
        <w:rPr>
          <w:rFonts w:hint="eastAsia" w:ascii="宋体" w:hAnsi="宋体" w:cs="宋体"/>
        </w:rPr>
        <w:t>1.1保修期内必须保证95％以上日期（以每年365天计算）能正常工作，如未能达到，应按2倍时间相应延长保修期。</w:t>
      </w:r>
    </w:p>
    <w:p w14:paraId="2100CA47">
      <w:pPr>
        <w:adjustRightInd w:val="0"/>
        <w:snapToGrid w:val="0"/>
        <w:spacing w:line="360" w:lineRule="auto"/>
        <w:ind w:firstLine="525" w:firstLineChars="250"/>
        <w:rPr>
          <w:rFonts w:hint="eastAsia" w:ascii="宋体" w:hAnsi="宋体" w:cs="宋体"/>
          <w:kern w:val="2"/>
        </w:rPr>
      </w:pPr>
      <w:r>
        <w:rPr>
          <w:rFonts w:hint="eastAsia" w:ascii="宋体" w:hAnsi="宋体" w:cs="宋体"/>
          <w:kern w:val="2"/>
        </w:rPr>
        <w:t>1.2保质保修期内，投标产品必须由原厂负责维修和售后服务（提供原厂售后服务承诺）。每年需对设备进行不少于1次的维护，且每次维护保养需出具维护保养记录。（所需费用均须包含在投标总价内）。</w:t>
      </w:r>
    </w:p>
    <w:p w14:paraId="084249E0">
      <w:pPr>
        <w:adjustRightInd w:val="0"/>
        <w:snapToGrid w:val="0"/>
        <w:spacing w:line="360" w:lineRule="auto"/>
        <w:ind w:firstLine="420" w:firstLineChars="200"/>
        <w:rPr>
          <w:rFonts w:hint="eastAsia" w:ascii="宋体" w:hAnsi="宋体" w:cs="宋体"/>
        </w:rPr>
      </w:pPr>
      <w:r>
        <w:rPr>
          <w:rFonts w:hint="eastAsia" w:ascii="宋体" w:hAnsi="宋体" w:cs="宋体"/>
        </w:rPr>
        <w:t>2. 保修期内，所有服务及配件全部包含在报价中。“技术要求”中另有要求的，以其中的要求为准。</w:t>
      </w:r>
    </w:p>
    <w:p w14:paraId="012B4793">
      <w:pPr>
        <w:adjustRightInd w:val="0"/>
        <w:snapToGrid w:val="0"/>
        <w:spacing w:line="360" w:lineRule="auto"/>
        <w:ind w:firstLine="420" w:firstLineChars="200"/>
        <w:rPr>
          <w:rFonts w:hint="eastAsia" w:ascii="宋体" w:hAnsi="宋体" w:cs="宋体"/>
        </w:rPr>
      </w:pPr>
      <w:r>
        <w:rPr>
          <w:rFonts w:hint="eastAsia" w:ascii="宋体" w:hAnsi="宋体" w:cs="宋体"/>
        </w:rPr>
        <w:t>3. 保修期自采购人和中标人代表在货物安装调试验收后的验收书上签字之日起计算。保修期内中标人对所供货物实行包修、包换、包退、包维护保养，保修期后设备维修配件更换只收取成本费用。</w:t>
      </w:r>
    </w:p>
    <w:p w14:paraId="73CF80ED">
      <w:pPr>
        <w:adjustRightInd w:val="0"/>
        <w:snapToGrid w:val="0"/>
        <w:spacing w:line="360" w:lineRule="auto"/>
        <w:ind w:firstLine="420" w:firstLineChars="200"/>
        <w:rPr>
          <w:rFonts w:hint="eastAsia" w:ascii="宋体" w:hAnsi="宋体" w:cs="宋体"/>
        </w:rPr>
      </w:pPr>
      <w:r>
        <w:rPr>
          <w:rFonts w:hint="eastAsia" w:ascii="宋体" w:hAnsi="宋体" w:cs="宋体"/>
        </w:rPr>
        <w:t>4. 保修期内，如设备或零部件因非人为因素出现故障而造成短期停用时，则保修期相应顺延。如停用时间累计超过60天则保修期重新计算。</w:t>
      </w:r>
    </w:p>
    <w:p w14:paraId="568C2253">
      <w:pPr>
        <w:adjustRightInd w:val="0"/>
        <w:snapToGrid w:val="0"/>
        <w:spacing w:line="360" w:lineRule="auto"/>
        <w:ind w:firstLine="420" w:firstLineChars="200"/>
        <w:rPr>
          <w:rFonts w:hint="eastAsia" w:ascii="宋体" w:hAnsi="宋体" w:cs="宋体"/>
        </w:rPr>
      </w:pPr>
      <w:r>
        <w:rPr>
          <w:rFonts w:hint="eastAsia" w:ascii="宋体" w:hAnsi="宋体" w:cs="宋体"/>
        </w:rPr>
        <w:t>5. 在保修期内，如货品非因采购人的人为原因而出现的问题由中标人负责保修、包换或包退，并承担修理、调换或退货的实际费用。</w:t>
      </w:r>
    </w:p>
    <w:p w14:paraId="6DC3857D">
      <w:pPr>
        <w:adjustRightInd w:val="0"/>
        <w:snapToGrid w:val="0"/>
        <w:spacing w:line="360" w:lineRule="auto"/>
        <w:ind w:firstLine="420" w:firstLineChars="200"/>
        <w:rPr>
          <w:rFonts w:hint="eastAsia" w:ascii="宋体" w:hAnsi="宋体" w:cs="宋体"/>
        </w:rPr>
      </w:pPr>
      <w:r>
        <w:rPr>
          <w:rFonts w:hint="eastAsia" w:ascii="宋体" w:hAnsi="宋体" w:cs="宋体"/>
        </w:rPr>
        <w:t>6. 保修期内，中标人负责对其提供的货物整机进行维修和系统维护，不再收取任何费用，但非中标人责任的人为因素、自然因素（如火灾、雷击等）造成的故障除外。</w:t>
      </w:r>
    </w:p>
    <w:p w14:paraId="20C28A13">
      <w:pPr>
        <w:adjustRightInd w:val="0"/>
        <w:snapToGrid w:val="0"/>
        <w:spacing w:line="360" w:lineRule="auto"/>
        <w:ind w:firstLine="420" w:firstLineChars="200"/>
        <w:rPr>
          <w:rFonts w:hint="eastAsia" w:ascii="宋体" w:hAnsi="宋体" w:cs="宋体"/>
        </w:rPr>
      </w:pPr>
      <w:r>
        <w:rPr>
          <w:rFonts w:hint="eastAsia" w:ascii="宋体" w:hAnsi="宋体" w:cs="宋体"/>
        </w:rPr>
        <w:t>7. 保修期内,对采购人的服务通知，中标人在接报后2小时内响应，8小时内到达现场，24小时内处理完毕。若在24小时内仍未能有效解决，采购人有权要求中标人免费提供同档次的设备予采购人临时使用。</w:t>
      </w:r>
    </w:p>
    <w:p w14:paraId="54B53762">
      <w:pPr>
        <w:adjustRightInd w:val="0"/>
        <w:snapToGrid w:val="0"/>
        <w:spacing w:line="360" w:lineRule="auto"/>
        <w:ind w:firstLine="420" w:firstLineChars="200"/>
        <w:rPr>
          <w:rFonts w:hint="eastAsia" w:ascii="宋体" w:hAnsi="宋体" w:cs="宋体"/>
          <w:b w:val="0"/>
        </w:rPr>
      </w:pPr>
      <w:r>
        <w:rPr>
          <w:rFonts w:hint="eastAsia" w:ascii="宋体" w:hAnsi="宋体" w:cs="宋体"/>
          <w:b w:val="0"/>
        </w:rPr>
        <w:t>（五）验收要求</w:t>
      </w:r>
    </w:p>
    <w:p w14:paraId="41E6FF3F">
      <w:pPr>
        <w:adjustRightInd w:val="0"/>
        <w:snapToGrid w:val="0"/>
        <w:spacing w:line="360" w:lineRule="auto"/>
        <w:ind w:firstLine="420" w:firstLineChars="200"/>
        <w:rPr>
          <w:rFonts w:hint="eastAsia" w:ascii="宋体" w:hAnsi="宋体" w:cs="宋体"/>
        </w:rPr>
      </w:pPr>
      <w:r>
        <w:rPr>
          <w:rFonts w:hint="eastAsia" w:ascii="宋体" w:hAnsi="宋体" w:cs="宋体"/>
        </w:rPr>
        <w:t>1. 采购人按照采购合同规定的技术、服务、安全标准组织对中标人履约情况进行验收，并出具验收书。验收书应当包括每一项技术、服务、安全标准的履约情况。</w:t>
      </w:r>
    </w:p>
    <w:p w14:paraId="3007BD9C">
      <w:pPr>
        <w:adjustRightInd w:val="0"/>
        <w:snapToGrid w:val="0"/>
        <w:spacing w:line="360" w:lineRule="auto"/>
        <w:ind w:firstLine="420" w:firstLineChars="200"/>
        <w:rPr>
          <w:rFonts w:hint="eastAsia" w:ascii="宋体" w:hAnsi="宋体" w:cs="宋体"/>
        </w:rPr>
      </w:pPr>
      <w:r>
        <w:rPr>
          <w:rFonts w:hint="eastAsia" w:ascii="宋体" w:hAnsi="宋体" w:cs="宋体"/>
        </w:rPr>
        <w:t>2. 交付验收标准依次序对照适用标准为：①符合中华人民共和国国家安全质量标准、环保标准或行业标准；②符合招标文件和投标承诺中采购人认可的合理最佳配置、参数及各项要求；③货物来源国官方标准。</w:t>
      </w:r>
    </w:p>
    <w:p w14:paraId="559F9E64">
      <w:pPr>
        <w:adjustRightInd w:val="0"/>
        <w:snapToGrid w:val="0"/>
        <w:spacing w:line="360" w:lineRule="auto"/>
        <w:ind w:firstLine="420" w:firstLineChars="200"/>
        <w:rPr>
          <w:rFonts w:hint="eastAsia" w:ascii="宋体" w:hAnsi="宋体" w:cs="宋体"/>
        </w:rPr>
      </w:pPr>
      <w:r>
        <w:rPr>
          <w:rFonts w:hint="eastAsia" w:ascii="宋体" w:hAnsi="宋体" w:cs="宋体"/>
        </w:rPr>
        <w:t>3. 货物为原厂商未启封全新包装，具有出厂合格证，序列号、包装箱号与出厂批号一致，并可追索查阅。所有随设备的附件必须齐全。</w:t>
      </w:r>
    </w:p>
    <w:p w14:paraId="07207B5A">
      <w:pPr>
        <w:adjustRightInd w:val="0"/>
        <w:snapToGrid w:val="0"/>
        <w:spacing w:line="360" w:lineRule="auto"/>
        <w:ind w:firstLine="420" w:firstLineChars="200"/>
        <w:rPr>
          <w:rFonts w:hint="eastAsia" w:ascii="宋体" w:hAnsi="宋体" w:cs="宋体"/>
        </w:rPr>
      </w:pPr>
      <w:r>
        <w:rPr>
          <w:rFonts w:hint="eastAsia" w:ascii="宋体" w:hAnsi="宋体" w:cs="宋体"/>
        </w:rPr>
        <w:t>4. 中标人将货物的用户手册、保修手册、有关单证资料及备品备件、随机工具等交付给采购人，使用操作及安全须知等重要资料应附有中文说明。</w:t>
      </w:r>
    </w:p>
    <w:p w14:paraId="647F6B04">
      <w:pPr>
        <w:adjustRightInd w:val="0"/>
        <w:snapToGrid w:val="0"/>
        <w:spacing w:line="360" w:lineRule="auto"/>
        <w:ind w:firstLine="420" w:firstLineChars="200"/>
        <w:rPr>
          <w:rFonts w:hint="eastAsia" w:ascii="宋体" w:hAnsi="宋体" w:cs="宋体"/>
        </w:rPr>
      </w:pPr>
      <w:r>
        <w:rPr>
          <w:rFonts w:hint="eastAsia" w:ascii="宋体" w:hAnsi="宋体" w:cs="宋体"/>
        </w:rPr>
        <w:t>5. 货物验收所发生的检验费用由中标人负担。</w:t>
      </w:r>
    </w:p>
    <w:p w14:paraId="06F8C648">
      <w:pPr>
        <w:adjustRightInd w:val="0"/>
        <w:snapToGrid w:val="0"/>
        <w:spacing w:line="360" w:lineRule="auto"/>
        <w:ind w:firstLine="420" w:firstLineChars="200"/>
        <w:rPr>
          <w:rFonts w:hint="eastAsia" w:ascii="宋体" w:hAnsi="宋体" w:cs="宋体"/>
        </w:rPr>
      </w:pPr>
      <w:r>
        <w:rPr>
          <w:rFonts w:hint="eastAsia" w:ascii="宋体" w:hAnsi="宋体" w:cs="宋体"/>
        </w:rPr>
        <w:t>6. 设备到货并经中标人技术人员安装后，采购人有权委托中国有资格的单位对上述设备进行校准或检验，设备校准或检定所需的费用由中标人负担。</w:t>
      </w:r>
    </w:p>
    <w:p w14:paraId="1FB58346">
      <w:pPr>
        <w:adjustRightInd w:val="0"/>
        <w:snapToGrid w:val="0"/>
        <w:spacing w:line="360" w:lineRule="auto"/>
        <w:ind w:firstLine="420" w:firstLineChars="200"/>
        <w:rPr>
          <w:rFonts w:hint="eastAsia" w:ascii="宋体" w:hAnsi="宋体" w:cs="宋体"/>
        </w:rPr>
      </w:pPr>
      <w:r>
        <w:rPr>
          <w:rFonts w:hint="eastAsia" w:ascii="宋体" w:hAnsi="宋体" w:cs="宋体"/>
        </w:rPr>
        <w:t>7. 采购人组成验收小组，按照采购合同规定的技术、服务、安全标准组织对中标人履约情况进行验收。因货物质量问题发生争议时，由采购人本地质量技术监督部门鉴定。货物符合质量技术标准的，鉴定费由采购人承担；否则鉴定费由中标人承担。</w:t>
      </w:r>
    </w:p>
    <w:p w14:paraId="324DAA77">
      <w:pPr>
        <w:adjustRightInd w:val="0"/>
        <w:snapToGrid w:val="0"/>
        <w:spacing w:line="360" w:lineRule="auto"/>
        <w:ind w:firstLine="420" w:firstLineChars="200"/>
        <w:rPr>
          <w:rFonts w:hint="eastAsia" w:ascii="宋体" w:hAnsi="宋体" w:cs="宋体"/>
        </w:rPr>
      </w:pPr>
      <w:r>
        <w:rPr>
          <w:rFonts w:hint="eastAsia" w:ascii="宋体" w:hAnsi="宋体" w:cs="宋体"/>
        </w:rPr>
        <w:t>8. 中标产品如属国家强制计量产品，需由中标人协助完成首次计量强检。</w:t>
      </w:r>
    </w:p>
    <w:p w14:paraId="78305B1B">
      <w:pPr>
        <w:adjustRightInd w:val="0"/>
        <w:snapToGrid w:val="0"/>
        <w:spacing w:line="360" w:lineRule="auto"/>
        <w:ind w:firstLine="420" w:firstLineChars="200"/>
        <w:rPr>
          <w:rFonts w:hint="eastAsia" w:ascii="宋体" w:hAnsi="宋体" w:cs="宋体"/>
        </w:rPr>
      </w:pPr>
      <w:r>
        <w:rPr>
          <w:rFonts w:hint="eastAsia" w:ascii="宋体" w:hAnsi="宋体" w:cs="宋体"/>
        </w:rPr>
        <w:t>9. 当出现不合格产品时，中标人要无条件更换合格产品。除采购人认可，否则不接受任何形式的降格处理。</w:t>
      </w:r>
    </w:p>
    <w:p w14:paraId="4A2CDA24">
      <w:pPr>
        <w:adjustRightInd w:val="0"/>
        <w:snapToGrid w:val="0"/>
        <w:spacing w:line="360" w:lineRule="auto"/>
        <w:ind w:firstLine="420" w:firstLineChars="200"/>
        <w:rPr>
          <w:rFonts w:hint="default" w:ascii="宋体" w:hAnsi="宋体" w:cs="宋体"/>
        </w:rPr>
      </w:pPr>
      <w:r>
        <w:rPr>
          <w:rFonts w:hint="default" w:ascii="宋体" w:hAnsi="宋体" w:cs="宋体"/>
        </w:rPr>
        <w:t>10.货物采购-到货验收(进口报关)，内部加强培训，在组织验收时按合同条款要求提供规范材料。</w:t>
      </w:r>
    </w:p>
    <w:p w14:paraId="5681140E">
      <w:pPr>
        <w:adjustRightInd w:val="0"/>
        <w:snapToGrid w:val="0"/>
        <w:spacing w:line="360" w:lineRule="auto"/>
        <w:ind w:firstLine="420" w:firstLineChars="200"/>
        <w:rPr>
          <w:rFonts w:hint="eastAsia" w:ascii="宋体" w:hAnsi="宋体" w:cs="宋体"/>
        </w:rPr>
      </w:pPr>
    </w:p>
    <w:p w14:paraId="2AADAAB3">
      <w:pPr>
        <w:adjustRightInd w:val="0"/>
        <w:snapToGrid w:val="0"/>
        <w:spacing w:line="360" w:lineRule="auto"/>
        <w:ind w:firstLine="420" w:firstLineChars="200"/>
        <w:rPr>
          <w:rFonts w:hint="eastAsia" w:ascii="宋体" w:hAnsi="宋体" w:cs="宋体"/>
          <w:b w:val="0"/>
          <w:kern w:val="2"/>
        </w:rPr>
      </w:pPr>
      <w:r>
        <w:rPr>
          <w:rFonts w:hint="eastAsia" w:ascii="宋体" w:hAnsi="宋体" w:cs="宋体"/>
          <w:b w:val="0"/>
          <w:kern w:val="2"/>
        </w:rPr>
        <w:t>（六）付款方式</w:t>
      </w:r>
    </w:p>
    <w:p w14:paraId="519EC26D">
      <w:pPr>
        <w:adjustRightInd w:val="0"/>
        <w:snapToGrid w:val="0"/>
        <w:spacing w:line="360" w:lineRule="auto"/>
        <w:ind w:firstLine="420" w:firstLineChars="200"/>
        <w:rPr>
          <w:rFonts w:hint="eastAsia" w:ascii="宋体" w:hAnsi="宋体" w:cs="宋体"/>
        </w:rPr>
      </w:pPr>
      <w:r>
        <w:rPr>
          <w:rFonts w:hint="eastAsia" w:ascii="宋体" w:hAnsi="宋体" w:cs="宋体"/>
        </w:rPr>
        <w:t>1.合同设备全部到指定地点交付并完成安装及验收合格后，中标人须向采购人提供以下相应资料和合同全额发票，采购人自收到发票及资料后5个工作日内办理支付，支付合同金额的 100%:</w:t>
      </w:r>
    </w:p>
    <w:p w14:paraId="62AC645E">
      <w:pPr>
        <w:adjustRightInd w:val="0"/>
        <w:snapToGrid w:val="0"/>
        <w:spacing w:line="360" w:lineRule="auto"/>
        <w:ind w:firstLine="420" w:firstLineChars="200"/>
        <w:rPr>
          <w:rFonts w:hint="eastAsia" w:ascii="宋体" w:hAnsi="宋体" w:cs="宋体"/>
        </w:rPr>
      </w:pPr>
      <w:r>
        <w:rPr>
          <w:rFonts w:hint="eastAsia" w:ascii="宋体" w:hAnsi="宋体" w:cs="宋体"/>
        </w:rPr>
        <w:t>（1）乙方开具的正式全额发票；</w:t>
      </w:r>
    </w:p>
    <w:p w14:paraId="14562C62">
      <w:pPr>
        <w:adjustRightInd w:val="0"/>
        <w:snapToGrid w:val="0"/>
        <w:spacing w:line="360" w:lineRule="auto"/>
        <w:ind w:firstLine="420" w:firstLineChars="200"/>
        <w:rPr>
          <w:rFonts w:hint="eastAsia" w:ascii="宋体" w:hAnsi="宋体" w:cs="宋体"/>
        </w:rPr>
      </w:pPr>
      <w:r>
        <w:rPr>
          <w:rFonts w:hint="eastAsia" w:ascii="宋体" w:hAnsi="宋体" w:cs="宋体"/>
        </w:rPr>
        <w:t>（2）</w:t>
      </w:r>
      <w:r>
        <w:rPr>
          <w:rFonts w:hint="eastAsia" w:ascii="宋体" w:hAnsi="宋体" w:cs="宋体" w:eastAsiaTheme="minorEastAsia"/>
          <w:kern w:val="2"/>
          <w:sz w:val="21"/>
          <w:szCs w:val="22"/>
        </w:rPr>
        <w:t>验收合格报告</w:t>
      </w:r>
      <w:r>
        <w:rPr>
          <w:rFonts w:hint="eastAsia" w:ascii="宋体" w:hAnsi="宋体" w:cs="宋体"/>
        </w:rPr>
        <w:t>。</w:t>
      </w:r>
    </w:p>
    <w:p w14:paraId="42603E61">
      <w:pPr>
        <w:keepNext w:val="0"/>
        <w:keepLines w:val="0"/>
        <w:widowControl/>
        <w:suppressLineNumbers w:val="0"/>
        <w:adjustRightInd w:val="0"/>
        <w:snapToGrid w:val="0"/>
        <w:spacing w:before="0" w:beforeAutospacing="0" w:after="0" w:afterAutospacing="0" w:line="360" w:lineRule="auto"/>
        <w:ind w:left="0" w:right="0" w:firstLine="420" w:firstLineChars="200"/>
        <w:jc w:val="left"/>
        <w:rPr>
          <w:rFonts w:hint="eastAsia" w:ascii="宋体" w:hAnsi="宋体" w:cs="宋体" w:eastAsiaTheme="minorEastAsia"/>
          <w:kern w:val="2"/>
          <w:sz w:val="21"/>
          <w:szCs w:val="22"/>
        </w:rPr>
      </w:pPr>
      <w:r>
        <w:rPr>
          <w:rFonts w:hint="eastAsia" w:ascii="宋体" w:hAnsi="宋体" w:cs="宋体" w:eastAsiaTheme="minorEastAsia"/>
          <w:kern w:val="2"/>
          <w:sz w:val="21"/>
          <w:szCs w:val="22"/>
          <w:lang w:val="en-US" w:eastAsia="zh-CN" w:bidi="ar"/>
        </w:rPr>
        <w:t>（</w:t>
      </w:r>
      <w:r>
        <w:rPr>
          <w:rFonts w:hint="eastAsia" w:ascii="宋体" w:hAnsi="宋体" w:cs="宋体" w:eastAsiaTheme="minorEastAsia"/>
          <w:kern w:val="2"/>
          <w:sz w:val="21"/>
          <w:szCs w:val="22"/>
          <w:lang w:eastAsia="zh-CN" w:bidi="ar"/>
        </w:rPr>
        <w:t>3</w:t>
      </w:r>
      <w:r>
        <w:rPr>
          <w:rFonts w:hint="eastAsia" w:ascii="宋体" w:hAnsi="宋体" w:cs="宋体" w:eastAsiaTheme="minorEastAsia"/>
          <w:kern w:val="2"/>
          <w:sz w:val="21"/>
          <w:szCs w:val="22"/>
          <w:lang w:val="en-US" w:eastAsia="zh-CN" w:bidi="ar"/>
        </w:rPr>
        <w:t>）报关单或有效商检证明文件(如果合同设备为进口货物的情况下要求提供)</w:t>
      </w:r>
    </w:p>
    <w:p w14:paraId="7A33B5C2">
      <w:pPr>
        <w:pStyle w:val="15"/>
        <w:numPr>
          <w:ilvl w:val="-1"/>
          <w:numId w:val="0"/>
        </w:numPr>
        <w:tabs>
          <w:tab w:val="left" w:pos="709"/>
        </w:tabs>
        <w:ind w:left="0" w:firstLine="0" w:firstLineChars="0"/>
        <w:rPr>
          <w:rFonts w:ascii="宋体" w:hAnsi="宋体" w:eastAsia="宋体" w:cs="宋体"/>
          <w:b/>
          <w:sz w:val="24"/>
          <w:szCs w:val="24"/>
        </w:rPr>
      </w:pPr>
      <w:r>
        <w:rPr>
          <w:rFonts w:hint="eastAsia" w:ascii="宋体" w:hAnsi="宋体" w:eastAsia="宋体" w:cs="宋体"/>
          <w:b/>
          <w:sz w:val="24"/>
          <w:szCs w:val="24"/>
          <w:lang w:eastAsia="zh-CN"/>
        </w:rPr>
        <w:t>五、</w:t>
      </w:r>
      <w:r>
        <w:rPr>
          <w:rFonts w:hint="eastAsia" w:ascii="宋体" w:hAnsi="宋体" w:eastAsia="宋体" w:cs="宋体"/>
          <w:b/>
          <w:sz w:val="24"/>
          <w:szCs w:val="24"/>
        </w:rPr>
        <w:t>单台最低配置清单（不限于）</w:t>
      </w:r>
    </w:p>
    <w:tbl>
      <w:tblPr>
        <w:tblStyle w:val="10"/>
        <w:tblW w:w="100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4"/>
        <w:gridCol w:w="4030"/>
        <w:gridCol w:w="845"/>
        <w:gridCol w:w="4120"/>
      </w:tblGrid>
      <w:tr w14:paraId="31942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blHeader/>
          <w:jc w:val="center"/>
        </w:trPr>
        <w:tc>
          <w:tcPr>
            <w:tcW w:w="0" w:type="auto"/>
            <w:vAlign w:val="center"/>
          </w:tcPr>
          <w:p w14:paraId="54F16E1B">
            <w:pPr>
              <w:snapToGrid w:val="0"/>
              <w:spacing w:line="240" w:lineRule="auto"/>
              <w:ind w:left="0" w:leftChars="0" w:right="0" w:rightChars="0" w:firstLine="0" w:firstLineChars="0"/>
              <w:jc w:val="center"/>
              <w:rPr>
                <w:rFonts w:ascii="宋体" w:hAnsi="宋体"/>
                <w:b/>
              </w:rPr>
            </w:pPr>
            <w:r>
              <w:rPr>
                <w:rFonts w:hint="eastAsia" w:ascii="宋体" w:hAnsi="宋体"/>
                <w:b/>
              </w:rPr>
              <w:t>序号</w:t>
            </w:r>
          </w:p>
        </w:tc>
        <w:tc>
          <w:tcPr>
            <w:tcW w:w="4030" w:type="dxa"/>
            <w:vAlign w:val="center"/>
          </w:tcPr>
          <w:p w14:paraId="54E97C4A">
            <w:pPr>
              <w:snapToGrid w:val="0"/>
              <w:spacing w:line="240" w:lineRule="auto"/>
              <w:ind w:left="0" w:leftChars="0" w:right="0" w:rightChars="0" w:firstLine="0" w:firstLineChars="0"/>
              <w:jc w:val="center"/>
              <w:rPr>
                <w:rFonts w:ascii="宋体" w:hAnsi="宋体"/>
                <w:b/>
              </w:rPr>
            </w:pPr>
            <w:r>
              <w:rPr>
                <w:rFonts w:hint="eastAsia" w:ascii="宋体" w:hAnsi="宋体"/>
                <w:b/>
              </w:rPr>
              <w:t>名称</w:t>
            </w:r>
          </w:p>
        </w:tc>
        <w:tc>
          <w:tcPr>
            <w:tcW w:w="845" w:type="dxa"/>
            <w:vAlign w:val="center"/>
          </w:tcPr>
          <w:p w14:paraId="329701CF">
            <w:pPr>
              <w:snapToGrid w:val="0"/>
              <w:spacing w:line="240" w:lineRule="auto"/>
              <w:ind w:left="0" w:leftChars="0" w:right="0" w:rightChars="0" w:firstLine="0" w:firstLineChars="0"/>
              <w:jc w:val="center"/>
              <w:rPr>
                <w:rFonts w:ascii="宋体" w:hAnsi="宋体"/>
                <w:b/>
              </w:rPr>
            </w:pPr>
            <w:r>
              <w:rPr>
                <w:rFonts w:hint="eastAsia" w:ascii="宋体" w:hAnsi="宋体"/>
                <w:b/>
              </w:rPr>
              <w:t>数量</w:t>
            </w:r>
          </w:p>
        </w:tc>
        <w:tc>
          <w:tcPr>
            <w:tcW w:w="4120" w:type="dxa"/>
            <w:vAlign w:val="center"/>
          </w:tcPr>
          <w:p w14:paraId="2E0C3C29">
            <w:pPr>
              <w:snapToGrid w:val="0"/>
              <w:spacing w:line="240" w:lineRule="auto"/>
              <w:ind w:left="0" w:leftChars="0" w:right="0" w:rightChars="0" w:firstLine="0" w:firstLineChars="0"/>
              <w:jc w:val="center"/>
              <w:rPr>
                <w:rFonts w:ascii="宋体" w:hAnsi="宋体"/>
                <w:b/>
              </w:rPr>
            </w:pPr>
            <w:r>
              <w:rPr>
                <w:rFonts w:hint="eastAsia" w:ascii="宋体" w:hAnsi="宋体"/>
                <w:b/>
              </w:rPr>
              <w:t>备注</w:t>
            </w:r>
          </w:p>
        </w:tc>
      </w:tr>
      <w:tr w14:paraId="3E0FE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0" w:type="auto"/>
            <w:vAlign w:val="center"/>
          </w:tcPr>
          <w:p w14:paraId="62FC9090">
            <w:pPr>
              <w:snapToGrid w:val="0"/>
              <w:spacing w:line="240" w:lineRule="auto"/>
              <w:ind w:left="0" w:leftChars="0" w:right="0" w:rightChars="0" w:firstLine="0" w:firstLineChars="0"/>
              <w:jc w:val="center"/>
              <w:rPr>
                <w:rFonts w:ascii="宋体" w:hAnsi="宋体" w:eastAsia="等线"/>
                <w:sz w:val="21"/>
              </w:rPr>
            </w:pPr>
            <w:r>
              <w:rPr>
                <w:rFonts w:hint="eastAsia" w:ascii="宋体" w:hAnsi="宋体" w:eastAsia="等线"/>
                <w:sz w:val="21"/>
              </w:rPr>
              <w:t>1</w:t>
            </w:r>
          </w:p>
        </w:tc>
        <w:tc>
          <w:tcPr>
            <w:tcW w:w="4030" w:type="dxa"/>
            <w:vAlign w:val="center"/>
          </w:tcPr>
          <w:p w14:paraId="76D20BC3">
            <w:pPr>
              <w:snapToGrid w:val="0"/>
              <w:spacing w:line="240" w:lineRule="auto"/>
              <w:ind w:left="0" w:leftChars="0" w:right="0" w:rightChars="0" w:firstLine="0" w:firstLineChars="0"/>
              <w:jc w:val="left"/>
              <w:rPr>
                <w:rFonts w:hint="eastAsia" w:ascii="宋体" w:hAnsi="宋体" w:eastAsia="等线"/>
                <w:sz w:val="21"/>
              </w:rPr>
            </w:pPr>
            <w:r>
              <w:rPr>
                <w:rFonts w:hint="eastAsia" w:ascii="宋体" w:hAnsi="宋体" w:eastAsia="等线"/>
                <w:sz w:val="21"/>
              </w:rPr>
              <w:t>主机</w:t>
            </w:r>
          </w:p>
        </w:tc>
        <w:tc>
          <w:tcPr>
            <w:tcW w:w="845" w:type="dxa"/>
            <w:vAlign w:val="center"/>
          </w:tcPr>
          <w:p w14:paraId="457FA175">
            <w:pPr>
              <w:snapToGrid w:val="0"/>
              <w:spacing w:line="240" w:lineRule="auto"/>
              <w:ind w:left="0" w:leftChars="0" w:right="0" w:rightChars="0" w:firstLine="0" w:firstLineChars="0"/>
              <w:jc w:val="left"/>
              <w:rPr>
                <w:rFonts w:ascii="宋体" w:hAnsi="宋体" w:eastAsia="等线"/>
                <w:sz w:val="21"/>
              </w:rPr>
            </w:pPr>
            <w:r>
              <w:rPr>
                <w:rFonts w:hint="eastAsia" w:ascii="宋体" w:hAnsi="宋体" w:eastAsia="等线"/>
                <w:sz w:val="21"/>
              </w:rPr>
              <w:t>1台</w:t>
            </w:r>
          </w:p>
        </w:tc>
        <w:tc>
          <w:tcPr>
            <w:tcW w:w="4120" w:type="dxa"/>
            <w:vAlign w:val="center"/>
          </w:tcPr>
          <w:p w14:paraId="41332E81">
            <w:pPr>
              <w:snapToGrid w:val="0"/>
              <w:spacing w:line="240" w:lineRule="auto"/>
              <w:ind w:left="0" w:leftChars="0" w:right="0" w:rightChars="0" w:firstLine="0" w:firstLineChars="0"/>
              <w:jc w:val="left"/>
              <w:rPr>
                <w:rFonts w:hint="eastAsia" w:ascii="宋体" w:hAnsi="宋体" w:eastAsia="宋体"/>
                <w:sz w:val="21"/>
                <w:lang w:val="en-US" w:eastAsia="zh-CN"/>
              </w:rPr>
            </w:pPr>
          </w:p>
        </w:tc>
      </w:tr>
      <w:tr w14:paraId="06219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0" w:type="auto"/>
            <w:vAlign w:val="center"/>
          </w:tcPr>
          <w:p w14:paraId="225C0CEA">
            <w:pPr>
              <w:snapToGrid w:val="0"/>
              <w:spacing w:line="240" w:lineRule="auto"/>
              <w:ind w:left="0" w:leftChars="0" w:right="0" w:rightChars="0" w:firstLine="0" w:firstLineChars="0"/>
              <w:jc w:val="center"/>
              <w:rPr>
                <w:rFonts w:ascii="宋体" w:hAnsi="宋体" w:eastAsia="等线"/>
                <w:sz w:val="21"/>
              </w:rPr>
            </w:pPr>
            <w:r>
              <w:rPr>
                <w:rFonts w:hint="eastAsia" w:ascii="宋体" w:hAnsi="宋体" w:eastAsia="等线"/>
                <w:sz w:val="21"/>
              </w:rPr>
              <w:t>2</w:t>
            </w:r>
          </w:p>
        </w:tc>
        <w:tc>
          <w:tcPr>
            <w:tcW w:w="4030" w:type="dxa"/>
            <w:vAlign w:val="center"/>
          </w:tcPr>
          <w:p w14:paraId="48EF86AB">
            <w:pPr>
              <w:snapToGrid w:val="0"/>
              <w:spacing w:line="240" w:lineRule="auto"/>
              <w:ind w:left="0" w:leftChars="0" w:right="0" w:rightChars="0" w:firstLine="0" w:firstLineChars="0"/>
              <w:jc w:val="left"/>
              <w:rPr>
                <w:rFonts w:hint="default" w:ascii="宋体" w:hAnsi="宋体" w:eastAsia="等线"/>
                <w:sz w:val="21"/>
                <w:lang w:val="en-US" w:eastAsia="zh-CN"/>
              </w:rPr>
            </w:pPr>
            <w:r>
              <w:rPr>
                <w:rFonts w:ascii="Segoe UI" w:hAnsi="Segoe UI" w:eastAsia="Segoe UI" w:cs="Segoe UI"/>
                <w:i w:val="0"/>
                <w:iCs w:val="0"/>
                <w:caps w:val="0"/>
                <w:color w:val="0F1115"/>
                <w:spacing w:val="0"/>
                <w:sz w:val="22"/>
                <w:szCs w:val="22"/>
                <w:shd w:val="clear" w:fill="FFFFFF"/>
              </w:rPr>
              <w:t>OAE筛查探头</w:t>
            </w:r>
          </w:p>
        </w:tc>
        <w:tc>
          <w:tcPr>
            <w:tcW w:w="845" w:type="dxa"/>
            <w:vAlign w:val="center"/>
          </w:tcPr>
          <w:p w14:paraId="30653FFA">
            <w:pPr>
              <w:snapToGrid w:val="0"/>
              <w:spacing w:line="240" w:lineRule="auto"/>
              <w:ind w:left="0" w:leftChars="0" w:right="0" w:rightChars="0" w:firstLine="0" w:firstLineChars="0"/>
              <w:jc w:val="left"/>
              <w:rPr>
                <w:rFonts w:hint="eastAsia" w:ascii="宋体" w:hAnsi="宋体" w:eastAsia="等线"/>
                <w:sz w:val="21"/>
                <w:lang w:val="en-US" w:eastAsia="zh-CN"/>
              </w:rPr>
            </w:pPr>
            <w:r>
              <w:rPr>
                <w:rFonts w:hint="eastAsia" w:ascii="宋体" w:hAnsi="宋体" w:eastAsia="等线"/>
                <w:sz w:val="21"/>
                <w:lang w:val="en-US" w:eastAsia="zh-CN"/>
              </w:rPr>
              <w:t>1</w:t>
            </w:r>
            <w:r>
              <w:rPr>
                <w:rFonts w:hint="eastAsia" w:ascii="宋体" w:eastAsia="等线"/>
                <w:sz w:val="21"/>
                <w:lang w:val="en-US" w:eastAsia="zh-CN"/>
              </w:rPr>
              <w:t>个</w:t>
            </w:r>
          </w:p>
        </w:tc>
        <w:tc>
          <w:tcPr>
            <w:tcW w:w="4120" w:type="dxa"/>
            <w:vAlign w:val="center"/>
          </w:tcPr>
          <w:p w14:paraId="2C0A51D0">
            <w:pPr>
              <w:snapToGrid w:val="0"/>
              <w:spacing w:line="240" w:lineRule="auto"/>
              <w:ind w:left="0" w:leftChars="0" w:right="0" w:rightChars="0" w:firstLine="0" w:firstLineChars="0"/>
              <w:jc w:val="left"/>
              <w:rPr>
                <w:rFonts w:ascii="宋体" w:hAnsi="宋体" w:eastAsia="等线"/>
                <w:sz w:val="21"/>
              </w:rPr>
            </w:pPr>
          </w:p>
        </w:tc>
      </w:tr>
      <w:tr w14:paraId="01626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0" w:type="auto"/>
            <w:vAlign w:val="center"/>
          </w:tcPr>
          <w:p w14:paraId="66446D11">
            <w:pPr>
              <w:snapToGrid w:val="0"/>
              <w:spacing w:line="240" w:lineRule="auto"/>
              <w:ind w:left="0" w:leftChars="0" w:right="0" w:rightChars="0" w:firstLine="0" w:firstLineChars="0"/>
              <w:jc w:val="center"/>
              <w:rPr>
                <w:rFonts w:hint="eastAsia" w:ascii="宋体" w:hAnsi="宋体" w:eastAsia="等线"/>
                <w:sz w:val="21"/>
                <w:lang w:val="en-US" w:eastAsia="zh-CN"/>
              </w:rPr>
            </w:pPr>
            <w:r>
              <w:rPr>
                <w:rFonts w:hint="eastAsia" w:ascii="宋体" w:hAnsi="宋体" w:eastAsia="等线"/>
                <w:sz w:val="21"/>
                <w:lang w:val="en-US" w:eastAsia="zh-CN"/>
              </w:rPr>
              <w:t>3</w:t>
            </w:r>
          </w:p>
        </w:tc>
        <w:tc>
          <w:tcPr>
            <w:tcW w:w="4030" w:type="dxa"/>
            <w:vAlign w:val="center"/>
          </w:tcPr>
          <w:p w14:paraId="746CADB5">
            <w:pPr>
              <w:snapToGrid w:val="0"/>
              <w:spacing w:line="240" w:lineRule="auto"/>
              <w:ind w:left="0" w:leftChars="0" w:right="0" w:rightChars="0" w:firstLine="0" w:firstLineChars="0"/>
              <w:jc w:val="left"/>
              <w:rPr>
                <w:rFonts w:ascii="Segoe UI" w:hAnsi="Segoe UI" w:eastAsia="Segoe UI" w:cs="Segoe UI"/>
                <w:i w:val="0"/>
                <w:iCs w:val="0"/>
                <w:caps w:val="0"/>
                <w:color w:val="0F1115"/>
                <w:spacing w:val="0"/>
                <w:sz w:val="22"/>
                <w:szCs w:val="22"/>
                <w:shd w:val="clear" w:fill="FFFFFF"/>
              </w:rPr>
            </w:pPr>
            <w:r>
              <w:rPr>
                <w:rFonts w:ascii="Segoe UI" w:hAnsi="Segoe UI" w:eastAsia="Segoe UI" w:cs="Segoe UI"/>
                <w:i w:val="0"/>
                <w:iCs w:val="0"/>
                <w:caps w:val="0"/>
                <w:color w:val="0F1115"/>
                <w:spacing w:val="0"/>
                <w:sz w:val="22"/>
                <w:szCs w:val="22"/>
                <w:shd w:val="clear" w:fill="FFFFFF"/>
              </w:rPr>
              <w:t>AABR筛查探头</w:t>
            </w:r>
          </w:p>
        </w:tc>
        <w:tc>
          <w:tcPr>
            <w:tcW w:w="845" w:type="dxa"/>
            <w:vAlign w:val="center"/>
          </w:tcPr>
          <w:p w14:paraId="12E49ED7">
            <w:pPr>
              <w:snapToGrid w:val="0"/>
              <w:spacing w:line="240" w:lineRule="auto"/>
              <w:ind w:left="0" w:leftChars="0" w:right="0" w:rightChars="0" w:firstLine="0" w:firstLineChars="0"/>
              <w:jc w:val="left"/>
              <w:rPr>
                <w:rFonts w:hint="eastAsia" w:ascii="宋体" w:hAnsi="宋体" w:eastAsia="等线"/>
                <w:sz w:val="21"/>
                <w:lang w:val="en-US" w:eastAsia="zh-CN"/>
              </w:rPr>
            </w:pPr>
            <w:r>
              <w:rPr>
                <w:rFonts w:hint="eastAsia" w:ascii="宋体" w:hAnsi="宋体" w:eastAsia="等线"/>
                <w:sz w:val="21"/>
                <w:lang w:val="en-US" w:eastAsia="zh-CN"/>
              </w:rPr>
              <w:t>1</w:t>
            </w:r>
            <w:r>
              <w:rPr>
                <w:rFonts w:hint="eastAsia" w:ascii="宋体" w:eastAsia="等线"/>
                <w:sz w:val="21"/>
                <w:lang w:val="en-US" w:eastAsia="zh-CN"/>
              </w:rPr>
              <w:t>个</w:t>
            </w:r>
          </w:p>
        </w:tc>
        <w:tc>
          <w:tcPr>
            <w:tcW w:w="4120" w:type="dxa"/>
            <w:vAlign w:val="center"/>
          </w:tcPr>
          <w:p w14:paraId="38B672CC">
            <w:pPr>
              <w:snapToGrid w:val="0"/>
              <w:spacing w:line="240" w:lineRule="auto"/>
              <w:ind w:left="0" w:leftChars="0" w:right="0" w:rightChars="0" w:firstLine="0" w:firstLineChars="0"/>
              <w:jc w:val="left"/>
              <w:rPr>
                <w:rFonts w:ascii="宋体" w:hAnsi="宋体" w:eastAsia="等线"/>
                <w:sz w:val="21"/>
              </w:rPr>
            </w:pPr>
          </w:p>
        </w:tc>
      </w:tr>
      <w:tr w14:paraId="59B7D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0" w:type="auto"/>
            <w:vAlign w:val="center"/>
          </w:tcPr>
          <w:p w14:paraId="4D492288">
            <w:pPr>
              <w:snapToGrid w:val="0"/>
              <w:spacing w:line="240" w:lineRule="auto"/>
              <w:ind w:left="0" w:leftChars="0" w:right="0" w:rightChars="0" w:firstLine="0" w:firstLineChars="0"/>
              <w:jc w:val="center"/>
              <w:rPr>
                <w:rFonts w:hint="eastAsia" w:ascii="宋体" w:hAnsi="宋体" w:eastAsia="等线"/>
                <w:sz w:val="21"/>
                <w:lang w:val="en-US" w:eastAsia="zh-CN"/>
              </w:rPr>
            </w:pPr>
            <w:r>
              <w:rPr>
                <w:rFonts w:hint="eastAsia" w:ascii="宋体" w:hAnsi="宋体" w:eastAsia="等线"/>
                <w:sz w:val="21"/>
                <w:lang w:val="en-US" w:eastAsia="zh-CN"/>
              </w:rPr>
              <w:t>4</w:t>
            </w:r>
          </w:p>
        </w:tc>
        <w:tc>
          <w:tcPr>
            <w:tcW w:w="4030" w:type="dxa"/>
            <w:vAlign w:val="center"/>
          </w:tcPr>
          <w:p w14:paraId="2E4D3AB8">
            <w:pPr>
              <w:snapToGrid w:val="0"/>
              <w:spacing w:line="240" w:lineRule="auto"/>
              <w:ind w:left="0" w:leftChars="0" w:right="0" w:rightChars="0" w:firstLine="0" w:firstLineChars="0"/>
              <w:jc w:val="left"/>
              <w:rPr>
                <w:rFonts w:ascii="Segoe UI" w:hAnsi="Segoe UI" w:eastAsia="Segoe UI" w:cs="Segoe UI"/>
                <w:i w:val="0"/>
                <w:iCs w:val="0"/>
                <w:caps w:val="0"/>
                <w:color w:val="0F1115"/>
                <w:spacing w:val="0"/>
                <w:sz w:val="22"/>
                <w:szCs w:val="22"/>
                <w:shd w:val="clear" w:fill="FFFFFF"/>
              </w:rPr>
            </w:pPr>
            <w:r>
              <w:rPr>
                <w:rFonts w:ascii="Segoe UI" w:hAnsi="Segoe UI" w:eastAsia="Segoe UI" w:cs="Segoe UI"/>
                <w:i w:val="0"/>
                <w:iCs w:val="0"/>
                <w:caps w:val="0"/>
                <w:color w:val="0F1115"/>
                <w:spacing w:val="0"/>
                <w:sz w:val="22"/>
                <w:szCs w:val="22"/>
                <w:shd w:val="clear" w:fill="FFFFFF"/>
              </w:rPr>
              <w:t>充电器</w:t>
            </w:r>
          </w:p>
        </w:tc>
        <w:tc>
          <w:tcPr>
            <w:tcW w:w="845" w:type="dxa"/>
            <w:vAlign w:val="center"/>
          </w:tcPr>
          <w:p w14:paraId="1FA42EDE">
            <w:pPr>
              <w:snapToGrid w:val="0"/>
              <w:spacing w:line="240" w:lineRule="auto"/>
              <w:ind w:left="0" w:leftChars="0" w:right="0" w:rightChars="0" w:firstLine="0" w:firstLineChars="0"/>
              <w:jc w:val="left"/>
              <w:rPr>
                <w:rFonts w:hint="eastAsia" w:ascii="宋体" w:hAnsi="宋体" w:eastAsia="等线"/>
                <w:sz w:val="21"/>
                <w:lang w:val="en-US" w:eastAsia="zh-CN"/>
              </w:rPr>
            </w:pPr>
            <w:r>
              <w:rPr>
                <w:rFonts w:hint="eastAsia" w:ascii="宋体" w:hAnsi="宋体" w:eastAsia="等线"/>
                <w:sz w:val="21"/>
                <w:lang w:val="en-US" w:eastAsia="zh-CN"/>
              </w:rPr>
              <w:t>1</w:t>
            </w:r>
            <w:r>
              <w:rPr>
                <w:rFonts w:hint="eastAsia" w:ascii="宋体" w:eastAsia="等线"/>
                <w:sz w:val="21"/>
                <w:lang w:val="en-US" w:eastAsia="zh-CN"/>
              </w:rPr>
              <w:t>个</w:t>
            </w:r>
          </w:p>
        </w:tc>
        <w:tc>
          <w:tcPr>
            <w:tcW w:w="4120" w:type="dxa"/>
            <w:vAlign w:val="center"/>
          </w:tcPr>
          <w:p w14:paraId="4C2DCD4E">
            <w:pPr>
              <w:snapToGrid w:val="0"/>
              <w:spacing w:line="240" w:lineRule="auto"/>
              <w:ind w:left="0" w:leftChars="0" w:right="0" w:rightChars="0" w:firstLine="0" w:firstLineChars="0"/>
              <w:jc w:val="left"/>
              <w:rPr>
                <w:rFonts w:ascii="宋体" w:hAnsi="宋体" w:eastAsia="等线"/>
                <w:sz w:val="21"/>
              </w:rPr>
            </w:pPr>
          </w:p>
        </w:tc>
      </w:tr>
      <w:tr w14:paraId="1790E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0" w:type="auto"/>
            <w:vAlign w:val="center"/>
          </w:tcPr>
          <w:p w14:paraId="0D4432C1">
            <w:pPr>
              <w:snapToGrid w:val="0"/>
              <w:spacing w:line="240" w:lineRule="auto"/>
              <w:ind w:left="0" w:leftChars="0" w:right="0" w:rightChars="0" w:firstLine="0" w:firstLineChars="0"/>
              <w:jc w:val="center"/>
              <w:rPr>
                <w:rFonts w:hint="eastAsia" w:ascii="宋体" w:hAnsi="宋体" w:eastAsia="等线"/>
                <w:sz w:val="21"/>
                <w:lang w:eastAsia="zh-CN"/>
              </w:rPr>
            </w:pPr>
            <w:r>
              <w:rPr>
                <w:rFonts w:hint="eastAsia" w:ascii="宋体" w:hAnsi="宋体" w:eastAsia="等线"/>
                <w:sz w:val="21"/>
                <w:lang w:val="en-US" w:eastAsia="zh-CN"/>
              </w:rPr>
              <w:t>5</w:t>
            </w:r>
          </w:p>
        </w:tc>
        <w:tc>
          <w:tcPr>
            <w:tcW w:w="4030" w:type="dxa"/>
            <w:vAlign w:val="center"/>
          </w:tcPr>
          <w:p w14:paraId="6BB33ED3">
            <w:pPr>
              <w:snapToGrid w:val="0"/>
              <w:spacing w:line="240" w:lineRule="auto"/>
              <w:ind w:left="0" w:leftChars="0" w:right="0" w:rightChars="0" w:firstLine="0" w:firstLineChars="0"/>
              <w:jc w:val="left"/>
              <w:rPr>
                <w:rFonts w:hint="default" w:ascii="宋体" w:hAnsi="宋体" w:eastAsia="等线"/>
                <w:sz w:val="21"/>
                <w:lang w:val="en-US" w:eastAsia="zh-CN"/>
              </w:rPr>
            </w:pPr>
            <w:r>
              <w:rPr>
                <w:rFonts w:hint="eastAsia" w:ascii="宋体" w:hAnsi="宋体" w:eastAsia="等线"/>
                <w:sz w:val="21"/>
                <w:lang w:val="en-US" w:eastAsia="zh-CN"/>
              </w:rPr>
              <w:t>电源线</w:t>
            </w:r>
          </w:p>
        </w:tc>
        <w:tc>
          <w:tcPr>
            <w:tcW w:w="845" w:type="dxa"/>
            <w:vAlign w:val="center"/>
          </w:tcPr>
          <w:p w14:paraId="04BD1C9D">
            <w:pPr>
              <w:snapToGrid w:val="0"/>
              <w:spacing w:line="240" w:lineRule="auto"/>
              <w:ind w:left="0" w:leftChars="0" w:right="0" w:rightChars="0" w:firstLine="0" w:firstLineChars="0"/>
              <w:jc w:val="left"/>
              <w:rPr>
                <w:rFonts w:hint="default" w:ascii="宋体" w:hAnsi="宋体" w:eastAsia="等线"/>
                <w:sz w:val="21"/>
                <w:lang w:val="en-US"/>
              </w:rPr>
            </w:pPr>
            <w:r>
              <w:rPr>
                <w:rFonts w:hint="default" w:ascii="宋体" w:hAnsi="宋体" w:eastAsia="等线"/>
                <w:sz w:val="21"/>
                <w:lang w:eastAsia="zh-CN"/>
              </w:rPr>
              <w:t>1</w:t>
            </w:r>
            <w:r>
              <w:rPr>
                <w:rFonts w:hint="eastAsia" w:ascii="宋体" w:hAnsi="宋体" w:eastAsia="等线"/>
                <w:sz w:val="21"/>
                <w:lang w:val="en-US" w:eastAsia="zh-CN"/>
              </w:rPr>
              <w:t>条</w:t>
            </w:r>
          </w:p>
        </w:tc>
        <w:tc>
          <w:tcPr>
            <w:tcW w:w="4120" w:type="dxa"/>
            <w:vAlign w:val="center"/>
          </w:tcPr>
          <w:p w14:paraId="75C744D9">
            <w:pPr>
              <w:snapToGrid w:val="0"/>
              <w:spacing w:line="240" w:lineRule="auto"/>
              <w:ind w:left="0" w:leftChars="0" w:right="0" w:rightChars="0" w:firstLine="0" w:firstLineChars="0"/>
              <w:jc w:val="left"/>
              <w:rPr>
                <w:rFonts w:ascii="宋体" w:hAnsi="宋体" w:eastAsia="等线"/>
                <w:sz w:val="21"/>
              </w:rPr>
            </w:pPr>
          </w:p>
        </w:tc>
      </w:tr>
      <w:tr w14:paraId="067FD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0" w:type="auto"/>
            <w:vAlign w:val="center"/>
          </w:tcPr>
          <w:p w14:paraId="6623128F">
            <w:pPr>
              <w:snapToGrid w:val="0"/>
              <w:spacing w:line="240" w:lineRule="auto"/>
              <w:ind w:left="0" w:leftChars="0" w:right="0" w:rightChars="0" w:firstLine="0" w:firstLineChars="0"/>
              <w:jc w:val="center"/>
              <w:rPr>
                <w:rFonts w:hint="eastAsia" w:ascii="宋体" w:hAnsi="宋体" w:eastAsia="等线"/>
                <w:sz w:val="21"/>
                <w:lang w:eastAsia="zh-CN"/>
              </w:rPr>
            </w:pPr>
            <w:r>
              <w:rPr>
                <w:rFonts w:hint="eastAsia" w:ascii="宋体" w:hAnsi="宋体" w:eastAsia="等线"/>
                <w:sz w:val="21"/>
                <w:lang w:val="en-US" w:eastAsia="zh-CN"/>
              </w:rPr>
              <w:t>6</w:t>
            </w:r>
          </w:p>
        </w:tc>
        <w:tc>
          <w:tcPr>
            <w:tcW w:w="4030" w:type="dxa"/>
            <w:vAlign w:val="center"/>
          </w:tcPr>
          <w:p w14:paraId="6403C9FC">
            <w:pPr>
              <w:adjustRightInd/>
              <w:snapToGrid w:val="0"/>
              <w:spacing w:line="240" w:lineRule="auto"/>
              <w:ind w:firstLine="0" w:firstLineChars="0"/>
              <w:jc w:val="left"/>
              <w:rPr>
                <w:rFonts w:hint="eastAsia" w:ascii="宋体" w:hAnsi="宋体" w:eastAsia="等线"/>
                <w:sz w:val="21"/>
              </w:rPr>
            </w:pPr>
            <w:r>
              <w:rPr>
                <w:rFonts w:hint="eastAsia" w:ascii="宋体" w:hAnsi="宋体" w:eastAsia="等线" w:cstheme="minorBidi"/>
                <w:lang w:val="en-US" w:eastAsia="zh-CN"/>
              </w:rPr>
              <w:t>产品技术资料</w:t>
            </w:r>
          </w:p>
        </w:tc>
        <w:tc>
          <w:tcPr>
            <w:tcW w:w="845" w:type="dxa"/>
            <w:vAlign w:val="center"/>
          </w:tcPr>
          <w:p w14:paraId="1C7328AB">
            <w:pPr>
              <w:adjustRightInd/>
              <w:snapToGrid w:val="0"/>
              <w:spacing w:line="240" w:lineRule="auto"/>
              <w:ind w:firstLine="0" w:firstLineChars="0"/>
              <w:jc w:val="left"/>
              <w:rPr>
                <w:rFonts w:hint="eastAsia" w:ascii="宋体" w:hAnsi="宋体" w:eastAsia="等线"/>
                <w:sz w:val="21"/>
                <w:lang w:eastAsia="zh-CN"/>
              </w:rPr>
            </w:pPr>
            <w:r>
              <w:rPr>
                <w:rFonts w:hint="eastAsia" w:ascii="宋体" w:hAnsi="宋体" w:eastAsia="等线" w:cstheme="minorBidi"/>
                <w:lang w:val="en-US" w:eastAsia="zh-CN"/>
              </w:rPr>
              <w:t>1套</w:t>
            </w:r>
          </w:p>
        </w:tc>
        <w:tc>
          <w:tcPr>
            <w:tcW w:w="4120" w:type="dxa"/>
            <w:vAlign w:val="center"/>
          </w:tcPr>
          <w:p w14:paraId="55E1E20C">
            <w:pPr>
              <w:adjustRightInd/>
              <w:snapToGrid w:val="0"/>
              <w:spacing w:line="240" w:lineRule="auto"/>
              <w:ind w:firstLine="0" w:firstLineChars="0"/>
              <w:jc w:val="left"/>
              <w:rPr>
                <w:rFonts w:hint="eastAsia" w:ascii="宋体" w:hAnsi="宋体" w:eastAsia="等线"/>
                <w:sz w:val="21"/>
              </w:rPr>
            </w:pPr>
            <w:r>
              <w:rPr>
                <w:rFonts w:hint="eastAsia" w:ascii="宋体" w:hAnsi="宋体" w:eastAsia="等线" w:cstheme="minorBidi"/>
                <w:lang w:val="en-US" w:eastAsia="zh-CN"/>
              </w:rPr>
              <w:t>含用户手册、操作指南、保修卡等</w:t>
            </w:r>
          </w:p>
        </w:tc>
      </w:tr>
    </w:tbl>
    <w:p w14:paraId="0028C150"/>
    <w:sectPr>
      <w:footerReference r:id="rId3" w:type="default"/>
      <w:pgSz w:w="11906" w:h="16838"/>
      <w:pgMar w:top="1440" w:right="1066" w:bottom="1440" w:left="106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80F3C52" w:usb2="00000016" w:usb3="00000000" w:csb0="0004001F" w:csb1="00000000"/>
  </w:font>
  <w:font w:name="Segoe UI">
    <w:panose1 w:val="020B0502040204020203"/>
    <w:charset w:val="00"/>
    <w:family w:val="swiss"/>
    <w:pitch w:val="default"/>
    <w:sig w:usb0="E10022FF" w:usb1="C000E47F" w:usb2="00000029" w:usb3="00000000" w:csb0="200001DF" w:csb1="2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D47D02">
    <w:pPr>
      <w:pStyle w:val="5"/>
    </w:pPr>
    <w:r>
      <w:rPr>
        <w:sz w:val="18"/>
      </w:rPr>
      <w:pict>
        <v:shape id="_x0000_s2049" o:spid="_x0000_s2049"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2221C713">
                <w:pPr>
                  <w:pStyle w:val="5"/>
                </w:pPr>
                <w:r>
                  <w:fldChar w:fldCharType="begin"/>
                </w:r>
                <w:r>
                  <w:instrText xml:space="preserve"> PAGE  \* MERGEFORMAT </w:instrText>
                </w:r>
                <w:r>
                  <w:fldChar w:fldCharType="separate"/>
                </w:r>
                <w:r>
                  <w:t>1</w:t>
                </w:r>
                <w: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trackRevisions w:val="1"/>
  <w:documentProtection w:edit="forms"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YzJlMWVhMTkxNTlkM2JiNTVmMmU2Yjk3YmE0MjkxYTIifQ=="/>
    <w:docVar w:name="KGWebUrl" w:val="http://10.2.240.65:8888/seeyon/kgOfficeServlet?tolen=ac1456b20cf7647ecd5d43a5db315464&amp;tko=KINGGRID_JSAPI&amp;m=s"/>
  </w:docVars>
  <w:rsids>
    <w:rsidRoot w:val="00AA6F6F"/>
    <w:rsid w:val="00012FEC"/>
    <w:rsid w:val="0002046F"/>
    <w:rsid w:val="00033A71"/>
    <w:rsid w:val="00036D78"/>
    <w:rsid w:val="00060D15"/>
    <w:rsid w:val="00071C92"/>
    <w:rsid w:val="000772FD"/>
    <w:rsid w:val="000824FF"/>
    <w:rsid w:val="00093F81"/>
    <w:rsid w:val="000950BF"/>
    <w:rsid w:val="000B6BD8"/>
    <w:rsid w:val="000D18FF"/>
    <w:rsid w:val="000D6B77"/>
    <w:rsid w:val="000E1F00"/>
    <w:rsid w:val="00130636"/>
    <w:rsid w:val="00133087"/>
    <w:rsid w:val="00144E29"/>
    <w:rsid w:val="0016566A"/>
    <w:rsid w:val="00166678"/>
    <w:rsid w:val="00173B1D"/>
    <w:rsid w:val="00184CB6"/>
    <w:rsid w:val="00191413"/>
    <w:rsid w:val="00191884"/>
    <w:rsid w:val="00193E80"/>
    <w:rsid w:val="001A6990"/>
    <w:rsid w:val="001A7AA1"/>
    <w:rsid w:val="001A7B09"/>
    <w:rsid w:val="001B05EC"/>
    <w:rsid w:val="001B15B1"/>
    <w:rsid w:val="001B26EB"/>
    <w:rsid w:val="001B5481"/>
    <w:rsid w:val="001C3378"/>
    <w:rsid w:val="001D248D"/>
    <w:rsid w:val="001D6826"/>
    <w:rsid w:val="001E2F90"/>
    <w:rsid w:val="002262CD"/>
    <w:rsid w:val="0023197C"/>
    <w:rsid w:val="0024119D"/>
    <w:rsid w:val="00243A8A"/>
    <w:rsid w:val="00253822"/>
    <w:rsid w:val="00256C7F"/>
    <w:rsid w:val="002A1FD7"/>
    <w:rsid w:val="002B73C8"/>
    <w:rsid w:val="002C4455"/>
    <w:rsid w:val="002D6627"/>
    <w:rsid w:val="002F5DDC"/>
    <w:rsid w:val="0030031B"/>
    <w:rsid w:val="0035401E"/>
    <w:rsid w:val="003634F4"/>
    <w:rsid w:val="003C4DBA"/>
    <w:rsid w:val="003C773A"/>
    <w:rsid w:val="003E4EAA"/>
    <w:rsid w:val="00403825"/>
    <w:rsid w:val="00404B86"/>
    <w:rsid w:val="00405E93"/>
    <w:rsid w:val="00432A9D"/>
    <w:rsid w:val="00443507"/>
    <w:rsid w:val="00445A96"/>
    <w:rsid w:val="00454650"/>
    <w:rsid w:val="00467C49"/>
    <w:rsid w:val="004725C7"/>
    <w:rsid w:val="004849FB"/>
    <w:rsid w:val="00491775"/>
    <w:rsid w:val="004A7C19"/>
    <w:rsid w:val="004C1404"/>
    <w:rsid w:val="00507699"/>
    <w:rsid w:val="0052233E"/>
    <w:rsid w:val="005371D9"/>
    <w:rsid w:val="00543471"/>
    <w:rsid w:val="005A4F53"/>
    <w:rsid w:val="005B502A"/>
    <w:rsid w:val="005C6477"/>
    <w:rsid w:val="005D32EA"/>
    <w:rsid w:val="005D79F7"/>
    <w:rsid w:val="005E4922"/>
    <w:rsid w:val="005F070D"/>
    <w:rsid w:val="00616D6A"/>
    <w:rsid w:val="0064239A"/>
    <w:rsid w:val="006A5DF8"/>
    <w:rsid w:val="006B0C38"/>
    <w:rsid w:val="006B3848"/>
    <w:rsid w:val="006E03D2"/>
    <w:rsid w:val="006F6D77"/>
    <w:rsid w:val="00700278"/>
    <w:rsid w:val="00700E7E"/>
    <w:rsid w:val="007354F7"/>
    <w:rsid w:val="0073561A"/>
    <w:rsid w:val="00744E09"/>
    <w:rsid w:val="00747CA8"/>
    <w:rsid w:val="00760B2D"/>
    <w:rsid w:val="00795F26"/>
    <w:rsid w:val="007B547A"/>
    <w:rsid w:val="007C71EE"/>
    <w:rsid w:val="007D16F0"/>
    <w:rsid w:val="007E5D85"/>
    <w:rsid w:val="0083629D"/>
    <w:rsid w:val="00851F3B"/>
    <w:rsid w:val="008A0FC1"/>
    <w:rsid w:val="008D1B3D"/>
    <w:rsid w:val="008E560F"/>
    <w:rsid w:val="008E73F4"/>
    <w:rsid w:val="009016D5"/>
    <w:rsid w:val="00940D87"/>
    <w:rsid w:val="00941B0F"/>
    <w:rsid w:val="00945A77"/>
    <w:rsid w:val="00973136"/>
    <w:rsid w:val="00991695"/>
    <w:rsid w:val="009A5205"/>
    <w:rsid w:val="009B3F03"/>
    <w:rsid w:val="009F359E"/>
    <w:rsid w:val="009F58D5"/>
    <w:rsid w:val="00A2259C"/>
    <w:rsid w:val="00A32680"/>
    <w:rsid w:val="00A61FA6"/>
    <w:rsid w:val="00A70CE8"/>
    <w:rsid w:val="00AA659E"/>
    <w:rsid w:val="00AA6F6F"/>
    <w:rsid w:val="00AD65DF"/>
    <w:rsid w:val="00AE5F9E"/>
    <w:rsid w:val="00AF4A98"/>
    <w:rsid w:val="00B34700"/>
    <w:rsid w:val="00B4162D"/>
    <w:rsid w:val="00B54E70"/>
    <w:rsid w:val="00B56F99"/>
    <w:rsid w:val="00B62667"/>
    <w:rsid w:val="00B64C34"/>
    <w:rsid w:val="00B6784E"/>
    <w:rsid w:val="00BB0DAE"/>
    <w:rsid w:val="00BB30AA"/>
    <w:rsid w:val="00BC1B47"/>
    <w:rsid w:val="00BF51FA"/>
    <w:rsid w:val="00BF6534"/>
    <w:rsid w:val="00C255D5"/>
    <w:rsid w:val="00C36811"/>
    <w:rsid w:val="00C37A09"/>
    <w:rsid w:val="00C4555B"/>
    <w:rsid w:val="00C46E1B"/>
    <w:rsid w:val="00C60A6C"/>
    <w:rsid w:val="00CC22DC"/>
    <w:rsid w:val="00CC5D15"/>
    <w:rsid w:val="00CD1E2A"/>
    <w:rsid w:val="00CE7E4F"/>
    <w:rsid w:val="00D331A1"/>
    <w:rsid w:val="00D40E22"/>
    <w:rsid w:val="00D51188"/>
    <w:rsid w:val="00D54E74"/>
    <w:rsid w:val="00D60D14"/>
    <w:rsid w:val="00D670B4"/>
    <w:rsid w:val="00D95C11"/>
    <w:rsid w:val="00D97CBE"/>
    <w:rsid w:val="00DB747B"/>
    <w:rsid w:val="00DE05AA"/>
    <w:rsid w:val="00DF791D"/>
    <w:rsid w:val="00E01D05"/>
    <w:rsid w:val="00E01D61"/>
    <w:rsid w:val="00E14E6A"/>
    <w:rsid w:val="00E33D3C"/>
    <w:rsid w:val="00E44635"/>
    <w:rsid w:val="00E467C9"/>
    <w:rsid w:val="00E525F5"/>
    <w:rsid w:val="00E53484"/>
    <w:rsid w:val="00E57A40"/>
    <w:rsid w:val="00E70E01"/>
    <w:rsid w:val="00E75504"/>
    <w:rsid w:val="00E76B69"/>
    <w:rsid w:val="00E8363A"/>
    <w:rsid w:val="00E926DB"/>
    <w:rsid w:val="00EB580E"/>
    <w:rsid w:val="00ED2B26"/>
    <w:rsid w:val="00EE5461"/>
    <w:rsid w:val="00F04E4A"/>
    <w:rsid w:val="00F05682"/>
    <w:rsid w:val="00F13B35"/>
    <w:rsid w:val="00F1712D"/>
    <w:rsid w:val="00F21A17"/>
    <w:rsid w:val="00F23391"/>
    <w:rsid w:val="00F42345"/>
    <w:rsid w:val="00F52C47"/>
    <w:rsid w:val="00F846A1"/>
    <w:rsid w:val="00F872F3"/>
    <w:rsid w:val="00FC4D1F"/>
    <w:rsid w:val="00FE4163"/>
    <w:rsid w:val="00FF5A21"/>
    <w:rsid w:val="019B35F8"/>
    <w:rsid w:val="03074E49"/>
    <w:rsid w:val="03401BAD"/>
    <w:rsid w:val="03C05E3D"/>
    <w:rsid w:val="041E2A05"/>
    <w:rsid w:val="049954C3"/>
    <w:rsid w:val="05B21939"/>
    <w:rsid w:val="06821F91"/>
    <w:rsid w:val="078775BB"/>
    <w:rsid w:val="08BF255A"/>
    <w:rsid w:val="08C33F05"/>
    <w:rsid w:val="08EC66F1"/>
    <w:rsid w:val="09491075"/>
    <w:rsid w:val="09AB2FEA"/>
    <w:rsid w:val="09CE42B4"/>
    <w:rsid w:val="0B363C6C"/>
    <w:rsid w:val="0B853F69"/>
    <w:rsid w:val="0BC2746B"/>
    <w:rsid w:val="0C6231D6"/>
    <w:rsid w:val="0CBC0F3D"/>
    <w:rsid w:val="0E203F8B"/>
    <w:rsid w:val="108B5882"/>
    <w:rsid w:val="10E011AD"/>
    <w:rsid w:val="1119519B"/>
    <w:rsid w:val="115367EE"/>
    <w:rsid w:val="11A536A8"/>
    <w:rsid w:val="11A96FEA"/>
    <w:rsid w:val="11D02A13"/>
    <w:rsid w:val="1255732C"/>
    <w:rsid w:val="1276316D"/>
    <w:rsid w:val="12D879A5"/>
    <w:rsid w:val="14176080"/>
    <w:rsid w:val="14570193"/>
    <w:rsid w:val="14696E0D"/>
    <w:rsid w:val="14CD2E2C"/>
    <w:rsid w:val="14E77465"/>
    <w:rsid w:val="15777DC6"/>
    <w:rsid w:val="158D4522"/>
    <w:rsid w:val="15DD09BA"/>
    <w:rsid w:val="16767346"/>
    <w:rsid w:val="16CF44B4"/>
    <w:rsid w:val="176C05BB"/>
    <w:rsid w:val="1790180A"/>
    <w:rsid w:val="17FF423C"/>
    <w:rsid w:val="18253623"/>
    <w:rsid w:val="19280E4F"/>
    <w:rsid w:val="197569BF"/>
    <w:rsid w:val="1A6E774E"/>
    <w:rsid w:val="1A8F32FB"/>
    <w:rsid w:val="1A9345BD"/>
    <w:rsid w:val="1B3B2C0A"/>
    <w:rsid w:val="1B3F34B5"/>
    <w:rsid w:val="1B6943E2"/>
    <w:rsid w:val="1BCB53E6"/>
    <w:rsid w:val="1BF1BC4B"/>
    <w:rsid w:val="1C365F14"/>
    <w:rsid w:val="1D250495"/>
    <w:rsid w:val="1D2A4A9F"/>
    <w:rsid w:val="1D3739A3"/>
    <w:rsid w:val="1DB22BF3"/>
    <w:rsid w:val="1DEF7A31"/>
    <w:rsid w:val="1E1316EE"/>
    <w:rsid w:val="1E37603B"/>
    <w:rsid w:val="1E720463"/>
    <w:rsid w:val="1EA73D3D"/>
    <w:rsid w:val="1EB22C18"/>
    <w:rsid w:val="1ED3181E"/>
    <w:rsid w:val="1F045B46"/>
    <w:rsid w:val="1F1455A2"/>
    <w:rsid w:val="1F7F3E35"/>
    <w:rsid w:val="1F8A4127"/>
    <w:rsid w:val="1FD20E9E"/>
    <w:rsid w:val="2080088A"/>
    <w:rsid w:val="20A85F01"/>
    <w:rsid w:val="20C8504D"/>
    <w:rsid w:val="21236A4E"/>
    <w:rsid w:val="217E27C3"/>
    <w:rsid w:val="21C21163"/>
    <w:rsid w:val="221078E4"/>
    <w:rsid w:val="22401B7F"/>
    <w:rsid w:val="22563FB8"/>
    <w:rsid w:val="226B0F7E"/>
    <w:rsid w:val="228A4C66"/>
    <w:rsid w:val="231F2B77"/>
    <w:rsid w:val="24771AFA"/>
    <w:rsid w:val="24B66EAB"/>
    <w:rsid w:val="24DF6B85"/>
    <w:rsid w:val="25F04F72"/>
    <w:rsid w:val="25F75E71"/>
    <w:rsid w:val="265E6820"/>
    <w:rsid w:val="26842436"/>
    <w:rsid w:val="277E8D41"/>
    <w:rsid w:val="280F4FF2"/>
    <w:rsid w:val="2A645051"/>
    <w:rsid w:val="2B474400"/>
    <w:rsid w:val="2BF1144A"/>
    <w:rsid w:val="2CDD336D"/>
    <w:rsid w:val="2DE3100B"/>
    <w:rsid w:val="2E190092"/>
    <w:rsid w:val="2E382087"/>
    <w:rsid w:val="2E492729"/>
    <w:rsid w:val="2EBF2556"/>
    <w:rsid w:val="2EC40A3A"/>
    <w:rsid w:val="2ECA134E"/>
    <w:rsid w:val="2F126D0D"/>
    <w:rsid w:val="2FF40B34"/>
    <w:rsid w:val="3012061A"/>
    <w:rsid w:val="308C79F2"/>
    <w:rsid w:val="30A40DEF"/>
    <w:rsid w:val="30A500E0"/>
    <w:rsid w:val="31631FBD"/>
    <w:rsid w:val="31D25B88"/>
    <w:rsid w:val="32C10D2A"/>
    <w:rsid w:val="330A25DE"/>
    <w:rsid w:val="336439EB"/>
    <w:rsid w:val="34831B82"/>
    <w:rsid w:val="34B870CB"/>
    <w:rsid w:val="354C1CD3"/>
    <w:rsid w:val="35A6BD77"/>
    <w:rsid w:val="35A7285A"/>
    <w:rsid w:val="360F7149"/>
    <w:rsid w:val="361A0DC5"/>
    <w:rsid w:val="36257DDC"/>
    <w:rsid w:val="364D79E0"/>
    <w:rsid w:val="36AF3590"/>
    <w:rsid w:val="376EA660"/>
    <w:rsid w:val="37798BF4"/>
    <w:rsid w:val="384E53CA"/>
    <w:rsid w:val="38502805"/>
    <w:rsid w:val="38FB35D2"/>
    <w:rsid w:val="393D0552"/>
    <w:rsid w:val="3946262E"/>
    <w:rsid w:val="39C750CE"/>
    <w:rsid w:val="39D06FB4"/>
    <w:rsid w:val="39FA1FD7"/>
    <w:rsid w:val="3AC17961"/>
    <w:rsid w:val="3B2D6D2D"/>
    <w:rsid w:val="3B6D7587"/>
    <w:rsid w:val="3B976C33"/>
    <w:rsid w:val="3B9C413F"/>
    <w:rsid w:val="3BC42677"/>
    <w:rsid w:val="3BD072BA"/>
    <w:rsid w:val="3BD90714"/>
    <w:rsid w:val="3BF60230"/>
    <w:rsid w:val="3C230079"/>
    <w:rsid w:val="3C2D4CDE"/>
    <w:rsid w:val="3C393EA3"/>
    <w:rsid w:val="3C5F29D0"/>
    <w:rsid w:val="3C783B80"/>
    <w:rsid w:val="3CB561AD"/>
    <w:rsid w:val="3CC8439C"/>
    <w:rsid w:val="3D641381"/>
    <w:rsid w:val="3E1D31E9"/>
    <w:rsid w:val="3E20765D"/>
    <w:rsid w:val="3E871DAB"/>
    <w:rsid w:val="3EA22359"/>
    <w:rsid w:val="3EFF1CE5"/>
    <w:rsid w:val="3F0E4EC3"/>
    <w:rsid w:val="3F1F3EFC"/>
    <w:rsid w:val="3F3B3771"/>
    <w:rsid w:val="3F6D1C51"/>
    <w:rsid w:val="3F7EA21A"/>
    <w:rsid w:val="3F9A2641"/>
    <w:rsid w:val="3FB25F11"/>
    <w:rsid w:val="3FC66FD7"/>
    <w:rsid w:val="3FFBBA00"/>
    <w:rsid w:val="40B12CF0"/>
    <w:rsid w:val="40DD5EEE"/>
    <w:rsid w:val="41F1012F"/>
    <w:rsid w:val="42074250"/>
    <w:rsid w:val="426F4240"/>
    <w:rsid w:val="42DFF0A3"/>
    <w:rsid w:val="42E61F6E"/>
    <w:rsid w:val="43306A88"/>
    <w:rsid w:val="43470B32"/>
    <w:rsid w:val="43740CD5"/>
    <w:rsid w:val="43970566"/>
    <w:rsid w:val="439F2C8F"/>
    <w:rsid w:val="44281139"/>
    <w:rsid w:val="44FF2443"/>
    <w:rsid w:val="459C43BD"/>
    <w:rsid w:val="46695BF6"/>
    <w:rsid w:val="467D2139"/>
    <w:rsid w:val="46D149CF"/>
    <w:rsid w:val="47261A1A"/>
    <w:rsid w:val="47778A7C"/>
    <w:rsid w:val="47835D34"/>
    <w:rsid w:val="47E27633"/>
    <w:rsid w:val="480575DC"/>
    <w:rsid w:val="484E77C5"/>
    <w:rsid w:val="48FB5912"/>
    <w:rsid w:val="498775A6"/>
    <w:rsid w:val="4A2828EA"/>
    <w:rsid w:val="4A326025"/>
    <w:rsid w:val="4A36E3A7"/>
    <w:rsid w:val="4AFD0348"/>
    <w:rsid w:val="4B264FCE"/>
    <w:rsid w:val="4B5A1597"/>
    <w:rsid w:val="4B7224E8"/>
    <w:rsid w:val="4BA50711"/>
    <w:rsid w:val="4BC44E22"/>
    <w:rsid w:val="4C5C4B32"/>
    <w:rsid w:val="4D6E533A"/>
    <w:rsid w:val="4DF52B15"/>
    <w:rsid w:val="4EDA2076"/>
    <w:rsid w:val="4FA3048F"/>
    <w:rsid w:val="4FFB2DFD"/>
    <w:rsid w:val="4FFF593B"/>
    <w:rsid w:val="502E636F"/>
    <w:rsid w:val="50B255F6"/>
    <w:rsid w:val="51310666"/>
    <w:rsid w:val="518058F5"/>
    <w:rsid w:val="518D2E08"/>
    <w:rsid w:val="51984674"/>
    <w:rsid w:val="51B14B9E"/>
    <w:rsid w:val="52075BF7"/>
    <w:rsid w:val="52911EC6"/>
    <w:rsid w:val="52D41E7C"/>
    <w:rsid w:val="52E92665"/>
    <w:rsid w:val="533F678C"/>
    <w:rsid w:val="535B746C"/>
    <w:rsid w:val="54077F3E"/>
    <w:rsid w:val="540E1CEE"/>
    <w:rsid w:val="545B6C7A"/>
    <w:rsid w:val="54AB258A"/>
    <w:rsid w:val="54C340BE"/>
    <w:rsid w:val="54D95202"/>
    <w:rsid w:val="563C1856"/>
    <w:rsid w:val="565B0DAE"/>
    <w:rsid w:val="566B2B56"/>
    <w:rsid w:val="566F7B40"/>
    <w:rsid w:val="56B431E4"/>
    <w:rsid w:val="575C21F0"/>
    <w:rsid w:val="57A97343"/>
    <w:rsid w:val="57BC2A34"/>
    <w:rsid w:val="57C56946"/>
    <w:rsid w:val="57D4654B"/>
    <w:rsid w:val="588C24F1"/>
    <w:rsid w:val="589C7466"/>
    <w:rsid w:val="595354E0"/>
    <w:rsid w:val="59782591"/>
    <w:rsid w:val="59CB0AD1"/>
    <w:rsid w:val="59CC4757"/>
    <w:rsid w:val="59FF1320"/>
    <w:rsid w:val="5AD2061B"/>
    <w:rsid w:val="5B3D6B2D"/>
    <w:rsid w:val="5B78C62D"/>
    <w:rsid w:val="5C517BEE"/>
    <w:rsid w:val="5CD7100B"/>
    <w:rsid w:val="5CDB77E1"/>
    <w:rsid w:val="5CEC19E4"/>
    <w:rsid w:val="5DAF7C03"/>
    <w:rsid w:val="5DB17438"/>
    <w:rsid w:val="5DD319F9"/>
    <w:rsid w:val="5E345D56"/>
    <w:rsid w:val="5ECC5E53"/>
    <w:rsid w:val="5ED66BCF"/>
    <w:rsid w:val="5F07140C"/>
    <w:rsid w:val="5F097636"/>
    <w:rsid w:val="5F25EFC3"/>
    <w:rsid w:val="5F322D12"/>
    <w:rsid w:val="5F371218"/>
    <w:rsid w:val="5F575B59"/>
    <w:rsid w:val="5F7FE380"/>
    <w:rsid w:val="5FEB2074"/>
    <w:rsid w:val="5FFF4E12"/>
    <w:rsid w:val="60066C8A"/>
    <w:rsid w:val="60AF220D"/>
    <w:rsid w:val="61813705"/>
    <w:rsid w:val="61F80E1A"/>
    <w:rsid w:val="62364527"/>
    <w:rsid w:val="62EC6A3C"/>
    <w:rsid w:val="64426C6D"/>
    <w:rsid w:val="64A90BA3"/>
    <w:rsid w:val="654559B4"/>
    <w:rsid w:val="66764CBA"/>
    <w:rsid w:val="66994D7E"/>
    <w:rsid w:val="66B2010A"/>
    <w:rsid w:val="66BB5B05"/>
    <w:rsid w:val="673263DF"/>
    <w:rsid w:val="67891F55"/>
    <w:rsid w:val="67E27449"/>
    <w:rsid w:val="68353D97"/>
    <w:rsid w:val="686A5A39"/>
    <w:rsid w:val="689375A6"/>
    <w:rsid w:val="697E9718"/>
    <w:rsid w:val="69F33436"/>
    <w:rsid w:val="6A0EBE56"/>
    <w:rsid w:val="6A475789"/>
    <w:rsid w:val="6A8B6805"/>
    <w:rsid w:val="6B5C404D"/>
    <w:rsid w:val="6B937B14"/>
    <w:rsid w:val="6BE807D3"/>
    <w:rsid w:val="6CD43F42"/>
    <w:rsid w:val="6CDE737B"/>
    <w:rsid w:val="6D2F747C"/>
    <w:rsid w:val="6E016288"/>
    <w:rsid w:val="6E844D1B"/>
    <w:rsid w:val="6EA548D7"/>
    <w:rsid w:val="6EB107DC"/>
    <w:rsid w:val="6F3667DF"/>
    <w:rsid w:val="6F4A5627"/>
    <w:rsid w:val="70051509"/>
    <w:rsid w:val="70F434AA"/>
    <w:rsid w:val="711331BB"/>
    <w:rsid w:val="71224879"/>
    <w:rsid w:val="712A56AC"/>
    <w:rsid w:val="715D37BD"/>
    <w:rsid w:val="721352DE"/>
    <w:rsid w:val="7312146F"/>
    <w:rsid w:val="74802B67"/>
    <w:rsid w:val="75400B46"/>
    <w:rsid w:val="757B789B"/>
    <w:rsid w:val="75824549"/>
    <w:rsid w:val="768369A4"/>
    <w:rsid w:val="76C433BD"/>
    <w:rsid w:val="773002AC"/>
    <w:rsid w:val="77350A4C"/>
    <w:rsid w:val="77607E4A"/>
    <w:rsid w:val="77747518"/>
    <w:rsid w:val="778F74F7"/>
    <w:rsid w:val="779D6175"/>
    <w:rsid w:val="77DB052C"/>
    <w:rsid w:val="781B7FDA"/>
    <w:rsid w:val="78A20F1A"/>
    <w:rsid w:val="78A568B9"/>
    <w:rsid w:val="791E610A"/>
    <w:rsid w:val="79294C49"/>
    <w:rsid w:val="795B81B0"/>
    <w:rsid w:val="7A305008"/>
    <w:rsid w:val="7A355653"/>
    <w:rsid w:val="7AC72486"/>
    <w:rsid w:val="7AE06E62"/>
    <w:rsid w:val="7AE24C9D"/>
    <w:rsid w:val="7B554013"/>
    <w:rsid w:val="7B5843F8"/>
    <w:rsid w:val="7B906A33"/>
    <w:rsid w:val="7BA83BC3"/>
    <w:rsid w:val="7BFFB1EB"/>
    <w:rsid w:val="7C416363"/>
    <w:rsid w:val="7C7D42AC"/>
    <w:rsid w:val="7CFBA6D5"/>
    <w:rsid w:val="7D0D51FE"/>
    <w:rsid w:val="7D760C8B"/>
    <w:rsid w:val="7D7B7934"/>
    <w:rsid w:val="7D890BCD"/>
    <w:rsid w:val="7F7F8B31"/>
    <w:rsid w:val="7F9745BA"/>
    <w:rsid w:val="7FAD2A57"/>
    <w:rsid w:val="7FFF5C0B"/>
    <w:rsid w:val="92B7A069"/>
    <w:rsid w:val="9DFFE5C7"/>
    <w:rsid w:val="ABFD8376"/>
    <w:rsid w:val="AF86A771"/>
    <w:rsid w:val="AFA4662D"/>
    <w:rsid w:val="BA315BEB"/>
    <w:rsid w:val="BCEFE4E5"/>
    <w:rsid w:val="BFF7FB71"/>
    <w:rsid w:val="CB4EE21D"/>
    <w:rsid w:val="D4BDE212"/>
    <w:rsid w:val="DAB7CC77"/>
    <w:rsid w:val="DDC2D275"/>
    <w:rsid w:val="DDEF5761"/>
    <w:rsid w:val="DDF90919"/>
    <w:rsid w:val="DF97E92B"/>
    <w:rsid w:val="DFFEEAF0"/>
    <w:rsid w:val="E67A17EE"/>
    <w:rsid w:val="E6FF0C46"/>
    <w:rsid w:val="E77772D1"/>
    <w:rsid w:val="F36B55F8"/>
    <w:rsid w:val="F3ACEDCB"/>
    <w:rsid w:val="F7F74CFA"/>
    <w:rsid w:val="F7FFDFD7"/>
    <w:rsid w:val="FC7EC4FF"/>
    <w:rsid w:val="FCAB495F"/>
    <w:rsid w:val="FCBDB1C8"/>
    <w:rsid w:val="FD57EB8F"/>
    <w:rsid w:val="FDD38C3E"/>
    <w:rsid w:val="FEFDD1B4"/>
    <w:rsid w:val="FFFBA655"/>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6"/>
    <w:unhideWhenUsed/>
    <w:qFormat/>
    <w:uiPriority w:val="0"/>
    <w:pPr>
      <w:jc w:val="left"/>
    </w:pPr>
  </w:style>
  <w:style w:type="paragraph" w:styleId="3">
    <w:name w:val="Body Text"/>
    <w:basedOn w:val="1"/>
    <w:next w:val="1"/>
    <w:unhideWhenUsed/>
    <w:qFormat/>
    <w:uiPriority w:val="99"/>
    <w:pPr>
      <w:spacing w:after="120"/>
    </w:pPr>
    <w:rPr>
      <w:szCs w:val="24"/>
    </w:rPr>
  </w:style>
  <w:style w:type="paragraph" w:styleId="4">
    <w:name w:val="Balloon Text"/>
    <w:basedOn w:val="1"/>
    <w:link w:val="18"/>
    <w:semiHidden/>
    <w:unhideWhenUsed/>
    <w:qFormat/>
    <w:uiPriority w:val="99"/>
    <w:rPr>
      <w:sz w:val="18"/>
      <w:szCs w:val="18"/>
    </w:rPr>
  </w:style>
  <w:style w:type="paragraph" w:styleId="5">
    <w:name w:val="footer"/>
    <w:basedOn w:val="1"/>
    <w:unhideWhenUsed/>
    <w:qFormat/>
    <w:uiPriority w:val="99"/>
    <w:pPr>
      <w:tabs>
        <w:tab w:val="center" w:pos="4153"/>
        <w:tab w:val="right" w:pos="8306"/>
      </w:tabs>
      <w:snapToGrid w:val="0"/>
      <w:jc w:val="left"/>
    </w:pPr>
    <w:rPr>
      <w:sz w:val="18"/>
    </w:rPr>
  </w:style>
  <w:style w:type="paragraph" w:styleId="6">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HTML Preformatted"/>
    <w:basedOn w:val="1"/>
    <w:link w:val="28"/>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paragraph" w:styleId="8">
    <w:name w:val="Normal (Web)"/>
    <w:basedOn w:val="1"/>
    <w:unhideWhenUsed/>
    <w:qFormat/>
    <w:uiPriority w:val="99"/>
    <w:pPr>
      <w:spacing w:beforeAutospacing="1" w:afterAutospacing="1"/>
      <w:jc w:val="left"/>
    </w:pPr>
    <w:rPr>
      <w:rFonts w:cs="Times New Roman"/>
      <w:kern w:val="0"/>
      <w:sz w:val="24"/>
    </w:rPr>
  </w:style>
  <w:style w:type="paragraph" w:styleId="9">
    <w:name w:val="annotation subject"/>
    <w:basedOn w:val="2"/>
    <w:next w:val="2"/>
    <w:link w:val="17"/>
    <w:semiHidden/>
    <w:unhideWhenUsed/>
    <w:qFormat/>
    <w:uiPriority w:val="99"/>
    <w:rPr>
      <w:b/>
      <w:bCs/>
    </w:rPr>
  </w:style>
  <w:style w:type="table" w:styleId="11">
    <w:name w:val="Table Grid"/>
    <w:basedOn w:val="10"/>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annotation reference"/>
    <w:basedOn w:val="12"/>
    <w:semiHidden/>
    <w:unhideWhenUsed/>
    <w:qFormat/>
    <w:uiPriority w:val="99"/>
    <w:rPr>
      <w:sz w:val="21"/>
      <w:szCs w:val="21"/>
    </w:rPr>
  </w:style>
  <w:style w:type="paragraph" w:customStyle="1" w:styleId="14">
    <w:name w:val="Char"/>
    <w:basedOn w:val="1"/>
    <w:qFormat/>
    <w:uiPriority w:val="0"/>
    <w:pPr>
      <w:widowControl/>
      <w:spacing w:after="160" w:line="240" w:lineRule="exact"/>
      <w:jc w:val="left"/>
    </w:pPr>
  </w:style>
  <w:style w:type="paragraph" w:styleId="15">
    <w:name w:val="List Paragraph"/>
    <w:basedOn w:val="1"/>
    <w:qFormat/>
    <w:uiPriority w:val="34"/>
    <w:pPr>
      <w:ind w:firstLine="420" w:firstLineChars="200"/>
    </w:pPr>
  </w:style>
  <w:style w:type="character" w:customStyle="1" w:styleId="16">
    <w:name w:val="批注文字 字符"/>
    <w:basedOn w:val="12"/>
    <w:link w:val="2"/>
    <w:qFormat/>
    <w:uiPriority w:val="0"/>
    <w:rPr>
      <w:rFonts w:asciiTheme="minorHAnsi" w:hAnsiTheme="minorHAnsi" w:cstheme="minorBidi"/>
      <w:kern w:val="2"/>
      <w:sz w:val="21"/>
      <w:szCs w:val="22"/>
    </w:rPr>
  </w:style>
  <w:style w:type="character" w:customStyle="1" w:styleId="17">
    <w:name w:val="批注主题 字符"/>
    <w:basedOn w:val="16"/>
    <w:link w:val="9"/>
    <w:semiHidden/>
    <w:qFormat/>
    <w:uiPriority w:val="99"/>
    <w:rPr>
      <w:rFonts w:asciiTheme="minorHAnsi" w:hAnsiTheme="minorHAnsi" w:cstheme="minorBidi"/>
      <w:b/>
      <w:bCs/>
      <w:kern w:val="2"/>
      <w:sz w:val="21"/>
      <w:szCs w:val="22"/>
    </w:rPr>
  </w:style>
  <w:style w:type="character" w:customStyle="1" w:styleId="18">
    <w:name w:val="批注框文本 字符"/>
    <w:basedOn w:val="12"/>
    <w:link w:val="4"/>
    <w:semiHidden/>
    <w:qFormat/>
    <w:uiPriority w:val="99"/>
    <w:rPr>
      <w:rFonts w:asciiTheme="minorHAnsi" w:hAnsiTheme="minorHAnsi" w:cstheme="minorBidi"/>
      <w:kern w:val="2"/>
      <w:sz w:val="18"/>
      <w:szCs w:val="18"/>
    </w:rPr>
  </w:style>
  <w:style w:type="paragraph" w:customStyle="1" w:styleId="19">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20">
    <w:name w:val="Other|1"/>
    <w:basedOn w:val="1"/>
    <w:qFormat/>
    <w:uiPriority w:val="0"/>
    <w:pPr>
      <w:jc w:val="left"/>
    </w:pPr>
    <w:rPr>
      <w:rFonts w:ascii="宋体" w:hAnsi="宋体" w:eastAsia="宋体" w:cs="宋体"/>
      <w:color w:val="000000"/>
      <w:kern w:val="0"/>
      <w:sz w:val="24"/>
      <w:szCs w:val="24"/>
    </w:rPr>
  </w:style>
  <w:style w:type="paragraph" w:customStyle="1" w:styleId="21">
    <w:name w:val="Body text|3"/>
    <w:basedOn w:val="1"/>
    <w:qFormat/>
    <w:uiPriority w:val="0"/>
    <w:pPr>
      <w:spacing w:after="360"/>
      <w:jc w:val="center"/>
    </w:pPr>
    <w:rPr>
      <w:rFonts w:ascii="宋体" w:hAnsi="宋体" w:eastAsia="宋体" w:cs="宋体"/>
      <w:color w:val="000000"/>
      <w:kern w:val="0"/>
      <w:sz w:val="36"/>
      <w:szCs w:val="36"/>
    </w:rPr>
  </w:style>
  <w:style w:type="paragraph" w:customStyle="1" w:styleId="22">
    <w:name w:val="Table caption|1"/>
    <w:basedOn w:val="1"/>
    <w:qFormat/>
    <w:uiPriority w:val="0"/>
    <w:pPr>
      <w:jc w:val="center"/>
    </w:pPr>
    <w:rPr>
      <w:rFonts w:ascii="宋体" w:hAnsi="宋体" w:eastAsia="宋体" w:cs="宋体"/>
      <w:b/>
      <w:bCs/>
      <w:color w:val="000000"/>
      <w:kern w:val="0"/>
      <w:sz w:val="30"/>
      <w:szCs w:val="30"/>
    </w:rPr>
  </w:style>
  <w:style w:type="paragraph" w:customStyle="1" w:styleId="23">
    <w:name w:val="表格文字"/>
    <w:basedOn w:val="1"/>
    <w:qFormat/>
    <w:uiPriority w:val="0"/>
    <w:pPr>
      <w:spacing w:before="25" w:after="25"/>
      <w:jc w:val="left"/>
    </w:pPr>
    <w:rPr>
      <w:bCs/>
      <w:spacing w:val="10"/>
      <w:kern w:val="0"/>
      <w:sz w:val="24"/>
    </w:rPr>
  </w:style>
  <w:style w:type="character" w:customStyle="1" w:styleId="24">
    <w:name w:val="15"/>
    <w:basedOn w:val="12"/>
    <w:qFormat/>
    <w:uiPriority w:val="0"/>
    <w:rPr>
      <w:rFonts w:hint="eastAsia" w:ascii="等线" w:hAnsi="等线" w:eastAsia="等线" w:cs="Times New Roman"/>
      <w:kern w:val="2"/>
      <w:sz w:val="21"/>
      <w:szCs w:val="21"/>
    </w:rPr>
  </w:style>
  <w:style w:type="paragraph" w:customStyle="1" w:styleId="25">
    <w:name w:val="修订2"/>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26">
    <w:name w:val="修订3"/>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27">
    <w:name w:val="批注文字 Char3"/>
    <w:qFormat/>
    <w:uiPriority w:val="0"/>
    <w:rPr>
      <w:kern w:val="2"/>
      <w:sz w:val="21"/>
      <w:szCs w:val="24"/>
    </w:rPr>
  </w:style>
  <w:style w:type="character" w:customStyle="1" w:styleId="28">
    <w:name w:val="HTML 预设格式 字符"/>
    <w:basedOn w:val="12"/>
    <w:link w:val="7"/>
    <w:qFormat/>
    <w:uiPriority w:val="99"/>
    <w:rPr>
      <w:rFonts w:ascii="宋体" w:hAnsi="宋体"/>
      <w:sz w:val="24"/>
      <w:szCs w:val="24"/>
    </w:rPr>
  </w:style>
  <w:style w:type="paragraph" w:customStyle="1" w:styleId="29">
    <w:name w:val="列出段落1"/>
    <w:basedOn w:val="1"/>
    <w:qFormat/>
    <w:uiPriority w:val="0"/>
    <w:pPr>
      <w:ind w:firstLine="420" w:firstLineChars="200"/>
    </w:pPr>
    <w:rPr>
      <w:rFonts w:ascii="等线" w:hAnsi="等线" w:eastAsia="宋体" w:cs="Times New Roman"/>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49" textRotate="1"/>
  </customShpExts>
</s:customData>
</file>

<file path=customXml/item2.xml><?xml version="1.0" encoding="utf-8"?>
<b:Sources xmlns:b="http://schemas.openxmlformats.org/officeDocument/2006/bibliography" xmlns="http://schemas.openxmlformats.org/officeDocument/2006/bibliography" SelectedStyle="\APASixthEditionOfficeOnline.xsl" Version="6"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7149E7C-ECB0-490A-A74A-7AF911165DE9}">
  <ds:schemaRefs/>
</ds:datastoreItem>
</file>

<file path=docProps/app.xml><?xml version="1.0" encoding="utf-8"?>
<Properties xmlns="http://schemas.openxmlformats.org/officeDocument/2006/extended-properties" xmlns:vt="http://schemas.openxmlformats.org/officeDocument/2006/docPropsVTypes">
  <Company>Microsoft</Company>
  <Pages>4</Pages>
  <Words>2975</Words>
  <Characters>3250</Characters>
  <Lines>1</Lines>
  <Paragraphs>1</Paragraphs>
  <TotalTime>40</TotalTime>
  <ScaleCrop>false</ScaleCrop>
  <LinksUpToDate>false</LinksUpToDate>
  <CharactersWithSpaces>3355</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2023-07-10T12:00:00Z</dcterms:created>
  <dc:creator>肖翔</dc:creator>
  <cp:lastModifiedBy>李映晖</cp:lastModifiedBy>
  <dcterms:modified xsi:type="dcterms:W3CDTF">2026-08-20T01:21:49Z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05658FD9795A4754B3252E02500D1453_13</vt:lpwstr>
  </property>
  <property fmtid="{D5CDD505-2E9C-101B-9397-08002B2CF9AE}" pid="4" name="KSOTemplateDocerSaveRecord">
    <vt:lpwstr>eyJoZGlkIjoiMTNmYjQ4YmJiOGI5NWU3OGRhMTMxY2Q4NWZlMmE4YmYiLCJ1c2VySWQiOiIxMjYzMjE0NjQ1In0=</vt:lpwstr>
  </property>
</Properties>
</file>