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499C57" w14:textId="77777777" w:rsidR="005A08FD" w:rsidRDefault="005A08FD">
      <w:pPr>
        <w:spacing w:line="640" w:lineRule="exact"/>
        <w:jc w:val="center"/>
        <w:rPr>
          <w:rFonts w:ascii="方正小标宋简体" w:eastAsia="方正小标宋简体" w:hAnsi="宋体" w:cs="宋体"/>
          <w:bCs/>
          <w:sz w:val="44"/>
          <w:szCs w:val="44"/>
        </w:rPr>
      </w:pPr>
      <w:bookmarkStart w:id="0" w:name="OLE_LINK1"/>
      <w:r w:rsidRPr="005A08FD">
        <w:rPr>
          <w:rFonts w:ascii="方正小标宋简体" w:eastAsia="方正小标宋简体" w:hAnsi="宋体" w:cs="宋体" w:hint="eastAsia"/>
          <w:bCs/>
          <w:sz w:val="44"/>
          <w:szCs w:val="44"/>
        </w:rPr>
        <w:t>广州医科大学附属番禺中心医院公务用车定点加油服务采购项目用户需求书</w:t>
      </w:r>
    </w:p>
    <w:bookmarkEnd w:id="0"/>
    <w:p w14:paraId="4A956CED" w14:textId="7986B252" w:rsidR="00070288" w:rsidRDefault="00070288">
      <w:pPr>
        <w:spacing w:line="640" w:lineRule="exact"/>
        <w:jc w:val="center"/>
        <w:rPr>
          <w:rFonts w:ascii="方正小标宋简体" w:eastAsia="方正小标宋简体" w:hAnsi="方正公文小标宋" w:cs="方正公文小标宋"/>
          <w:bCs/>
          <w:sz w:val="44"/>
          <w:szCs w:val="44"/>
        </w:rPr>
      </w:pPr>
    </w:p>
    <w:p w14:paraId="5AA286A4" w14:textId="77777777" w:rsidR="00070288" w:rsidRDefault="005A08FD">
      <w:pPr>
        <w:widowControl/>
        <w:spacing w:beforeLines="100" w:before="312"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一、项目基本情况</w:t>
      </w:r>
    </w:p>
    <w:p w14:paraId="28142F0D" w14:textId="77777777" w:rsidR="00070288" w:rsidRDefault="005A08FD">
      <w:pPr>
        <w:pStyle w:val="ds-markdown-paragraph"/>
        <w:shd w:val="clear" w:color="auto" w:fill="FFFFFF"/>
        <w:spacing w:before="0" w:beforeAutospacing="0" w:after="0" w:afterAutospacing="0" w:line="600" w:lineRule="exact"/>
        <w:ind w:firstLineChars="200" w:firstLine="643"/>
        <w:jc w:val="both"/>
        <w:rPr>
          <w:rFonts w:ascii="仿宋_GB2312" w:eastAsia="仿宋_GB2312" w:hAnsi="Segoe UI" w:cs="Segoe UI"/>
          <w:color w:val="0F1115"/>
          <w:sz w:val="32"/>
          <w:szCs w:val="32"/>
        </w:rPr>
      </w:pPr>
      <w:r>
        <w:rPr>
          <w:rStyle w:val="ad"/>
          <w:rFonts w:ascii="仿宋_GB2312" w:eastAsia="仿宋_GB2312" w:hAnsi="Segoe UI" w:cs="Segoe UI" w:hint="eastAsia"/>
          <w:color w:val="0F1115"/>
          <w:sz w:val="32"/>
          <w:szCs w:val="32"/>
        </w:rPr>
        <w:t>（一）项目名称：</w:t>
      </w:r>
      <w:r>
        <w:rPr>
          <w:rFonts w:ascii="仿宋_GB2312" w:eastAsia="仿宋_GB2312" w:hAnsi="Segoe UI" w:cs="Segoe UI" w:hint="eastAsia"/>
          <w:color w:val="0F1115"/>
          <w:sz w:val="32"/>
          <w:szCs w:val="32"/>
        </w:rPr>
        <w:t> </w:t>
      </w:r>
      <w:r>
        <w:rPr>
          <w:rFonts w:ascii="仿宋_GB2312" w:eastAsia="仿宋_GB2312" w:hAnsi="Segoe UI" w:cs="Segoe UI" w:hint="eastAsia"/>
          <w:color w:val="0F1115"/>
          <w:sz w:val="32"/>
          <w:szCs w:val="32"/>
        </w:rPr>
        <w:t>广州医科大学附属番禺中心医院公务用车定点加油服务项目</w:t>
      </w:r>
    </w:p>
    <w:p w14:paraId="295DC7A9" w14:textId="77777777" w:rsidR="00070288" w:rsidRDefault="005A08FD">
      <w:pPr>
        <w:pStyle w:val="ds-markdown-paragraph"/>
        <w:shd w:val="clear" w:color="auto" w:fill="FFFFFF"/>
        <w:spacing w:before="0" w:beforeAutospacing="0" w:after="0" w:afterAutospacing="0" w:line="600" w:lineRule="exact"/>
        <w:ind w:firstLineChars="200" w:firstLine="643"/>
        <w:jc w:val="both"/>
        <w:rPr>
          <w:rFonts w:ascii="仿宋_GB2312" w:eastAsia="仿宋_GB2312" w:hAnsi="Segoe UI" w:cs="Segoe UI"/>
          <w:color w:val="0F1115"/>
          <w:sz w:val="32"/>
          <w:szCs w:val="32"/>
        </w:rPr>
      </w:pPr>
      <w:r>
        <w:rPr>
          <w:rStyle w:val="ad"/>
          <w:rFonts w:ascii="仿宋_GB2312" w:eastAsia="仿宋_GB2312" w:hAnsi="Segoe UI" w:cs="Segoe UI" w:hint="eastAsia"/>
          <w:color w:val="0F1115"/>
          <w:sz w:val="32"/>
          <w:szCs w:val="32"/>
        </w:rPr>
        <w:t>（二）采购单位：</w:t>
      </w:r>
      <w:r>
        <w:rPr>
          <w:rFonts w:ascii="仿宋_GB2312" w:eastAsia="仿宋_GB2312" w:hAnsi="Segoe UI" w:cs="Segoe UI" w:hint="eastAsia"/>
          <w:color w:val="0F1115"/>
          <w:sz w:val="32"/>
          <w:szCs w:val="32"/>
        </w:rPr>
        <w:t> </w:t>
      </w:r>
      <w:r>
        <w:rPr>
          <w:rFonts w:ascii="仿宋_GB2312" w:eastAsia="仿宋_GB2312" w:hAnsi="Segoe UI" w:cs="Segoe UI" w:hint="eastAsia"/>
          <w:color w:val="0F1115"/>
          <w:sz w:val="32"/>
          <w:szCs w:val="32"/>
        </w:rPr>
        <w:t>广州医科大学附属番禺中心医院</w:t>
      </w:r>
    </w:p>
    <w:p w14:paraId="514871D0" w14:textId="490BDFAD" w:rsidR="00070288" w:rsidRDefault="005A08FD">
      <w:pPr>
        <w:pStyle w:val="ds-markdown-paragraph"/>
        <w:shd w:val="clear" w:color="auto" w:fill="FFFFFF"/>
        <w:spacing w:before="0" w:beforeAutospacing="0" w:after="0" w:afterAutospacing="0" w:line="600" w:lineRule="exact"/>
        <w:ind w:firstLineChars="200" w:firstLine="643"/>
        <w:jc w:val="both"/>
        <w:rPr>
          <w:rFonts w:ascii="仿宋_GB2312" w:eastAsia="仿宋_GB2312" w:hAnsi="Segoe UI" w:cs="Segoe UI"/>
          <w:color w:val="0F1115"/>
          <w:sz w:val="32"/>
          <w:szCs w:val="32"/>
        </w:rPr>
      </w:pPr>
      <w:r>
        <w:rPr>
          <w:rStyle w:val="ad"/>
          <w:rFonts w:ascii="仿宋_GB2312" w:eastAsia="仿宋_GB2312" w:hAnsi="Segoe UI" w:cs="Segoe UI" w:hint="eastAsia"/>
          <w:color w:val="0F1115"/>
          <w:sz w:val="32"/>
          <w:szCs w:val="32"/>
        </w:rPr>
        <w:t>（</w:t>
      </w:r>
      <w:r>
        <w:rPr>
          <w:rStyle w:val="ad"/>
          <w:rFonts w:ascii="仿宋_GB2312" w:eastAsia="仿宋_GB2312" w:hAnsi="Segoe UI" w:cs="Segoe UI"/>
          <w:color w:val="0F1115"/>
          <w:sz w:val="32"/>
          <w:szCs w:val="32"/>
        </w:rPr>
        <w:t>三</w:t>
      </w:r>
      <w:r>
        <w:rPr>
          <w:rStyle w:val="ad"/>
          <w:rFonts w:ascii="仿宋_GB2312" w:eastAsia="仿宋_GB2312" w:hAnsi="Segoe UI" w:cs="Segoe UI" w:hint="eastAsia"/>
          <w:color w:val="0F1115"/>
          <w:sz w:val="32"/>
          <w:szCs w:val="32"/>
        </w:rPr>
        <w:t>）服务期限：</w:t>
      </w:r>
      <w:r>
        <w:rPr>
          <w:rFonts w:ascii="仿宋_GB2312" w:eastAsia="仿宋_GB2312" w:hAnsi="Segoe UI" w:cs="Segoe UI" w:hint="eastAsia"/>
          <w:color w:val="0F1115"/>
          <w:sz w:val="32"/>
          <w:szCs w:val="32"/>
        </w:rPr>
        <w:t> </w:t>
      </w:r>
      <w:r>
        <w:rPr>
          <w:rFonts w:ascii="仿宋_GB2312" w:eastAsia="仿宋_GB2312" w:hAnsi="Segoe UI" w:cs="Segoe UI" w:hint="eastAsia"/>
          <w:color w:val="0F1115"/>
          <w:sz w:val="32"/>
          <w:szCs w:val="32"/>
        </w:rPr>
        <w:t>2026年11月1日—2028年10月31日（共2年）</w:t>
      </w:r>
    </w:p>
    <w:p w14:paraId="634328BA" w14:textId="6790B8C0" w:rsidR="00070288" w:rsidRDefault="005A08FD">
      <w:pPr>
        <w:pStyle w:val="ds-markdown-paragraph"/>
        <w:shd w:val="clear" w:color="auto" w:fill="FFFFFF"/>
        <w:spacing w:before="0" w:beforeAutospacing="0" w:after="0" w:afterAutospacing="0" w:line="600" w:lineRule="exact"/>
        <w:ind w:firstLineChars="200" w:firstLine="643"/>
        <w:jc w:val="both"/>
        <w:rPr>
          <w:rFonts w:ascii="仿宋_GB2312" w:eastAsia="仿宋_GB2312" w:hAnsi="Segoe UI" w:cs="Segoe UI"/>
          <w:color w:val="0F1115"/>
          <w:sz w:val="32"/>
          <w:szCs w:val="32"/>
        </w:rPr>
      </w:pPr>
      <w:r>
        <w:rPr>
          <w:rStyle w:val="ad"/>
          <w:rFonts w:ascii="仿宋_GB2312" w:eastAsia="仿宋_GB2312" w:hAnsi="Segoe UI" w:cs="Segoe UI" w:hint="eastAsia"/>
          <w:color w:val="0F1115"/>
          <w:sz w:val="32"/>
          <w:szCs w:val="32"/>
        </w:rPr>
        <w:t>（</w:t>
      </w:r>
      <w:r>
        <w:rPr>
          <w:rStyle w:val="ad"/>
          <w:rFonts w:ascii="仿宋_GB2312" w:eastAsia="仿宋_GB2312" w:hAnsi="Segoe UI" w:cs="Segoe UI"/>
          <w:color w:val="0F1115"/>
          <w:sz w:val="32"/>
          <w:szCs w:val="32"/>
        </w:rPr>
        <w:t>四</w:t>
      </w:r>
      <w:r>
        <w:rPr>
          <w:rStyle w:val="ad"/>
          <w:rFonts w:ascii="仿宋_GB2312" w:eastAsia="仿宋_GB2312" w:hAnsi="Segoe UI" w:cs="Segoe UI" w:hint="eastAsia"/>
          <w:color w:val="0F1115"/>
          <w:sz w:val="32"/>
          <w:szCs w:val="32"/>
        </w:rPr>
        <w:t>）采购预算：</w:t>
      </w:r>
      <w:r>
        <w:rPr>
          <w:rFonts w:ascii="仿宋_GB2312" w:eastAsia="仿宋_GB2312" w:hAnsi="Segoe UI" w:cs="Segoe UI" w:hint="eastAsia"/>
          <w:color w:val="0F1115"/>
          <w:sz w:val="32"/>
          <w:szCs w:val="32"/>
        </w:rPr>
        <w:t> </w:t>
      </w:r>
      <w:r>
        <w:rPr>
          <w:rFonts w:ascii="仿宋_GB2312" w:eastAsia="仿宋_GB2312" w:hAnsi="Segoe UI" w:cs="Segoe UI" w:hint="eastAsia"/>
          <w:color w:val="0F1115"/>
          <w:sz w:val="32"/>
          <w:szCs w:val="32"/>
        </w:rPr>
        <w:t>人民币80万元（两年期总预算）</w:t>
      </w:r>
    </w:p>
    <w:p w14:paraId="7403847B" w14:textId="77777777" w:rsidR="00070288" w:rsidRDefault="005A08FD">
      <w:pPr>
        <w:widowControl/>
        <w:spacing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二、供应商资格要求</w:t>
      </w:r>
    </w:p>
    <w:p w14:paraId="45FE4953"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参与本次市场调查的供应商须同时满足以下条件，提交资料真实有效、资质齐全合规：</w:t>
      </w:r>
    </w:p>
    <w:p w14:paraId="474FE060" w14:textId="77777777" w:rsidR="00070288" w:rsidRDefault="005A08FD">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（一）合法经营资质</w:t>
      </w:r>
    </w:p>
    <w:p w14:paraId="5E5F99F1" w14:textId="68D82922"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具有独立承担民事责任能力的法人主体，持有有效的营业执照，具备成品油零售经营批准证书、危险化学品经营许可证等法定资质证件。</w:t>
      </w:r>
    </w:p>
    <w:p w14:paraId="14F5659B" w14:textId="77777777" w:rsidR="00070288" w:rsidRDefault="005A08FD">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（二）平台入驻要求</w:t>
      </w:r>
    </w:p>
    <w:p w14:paraId="2547ABAD"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已在广东省政府采购智慧云平台完成入驻，需提供相关入驻佐证材料。</w:t>
      </w:r>
    </w:p>
    <w:p w14:paraId="4991C072" w14:textId="77777777" w:rsidR="00070288" w:rsidRDefault="005A08FD">
      <w:pPr>
        <w:widowControl/>
        <w:spacing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三、技术、服务要求</w:t>
      </w:r>
    </w:p>
    <w:p w14:paraId="7790C2E2" w14:textId="77777777" w:rsidR="00070288" w:rsidRDefault="005A08FD">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（一）油品供应要求</w:t>
      </w:r>
    </w:p>
    <w:p w14:paraId="07914068"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1.油品品类：供应商需提供国标合规车用燃油，包含但不限于 0# 柴油、92# 汽油、95# 汽油，可满足医院所有在编车辆用油标准。供应商须确保各品类油品库存充足，满足采购人日常及应急用油需求。</w:t>
      </w:r>
    </w:p>
    <w:p w14:paraId="6A608343"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质量标准：所有油品必须来源于正规合规炼油企业，各项指标严格符合《车用柴油》（GB19147）、《车用汽油》（GB17930）国家现行标准，无劣质油、勾兑油、非标油等问题，主动接受采购人及市场监管部门不定期抽检。如因油品质量问题造成采购人车辆损坏的，供应商须承担全部维修费用及相应赔偿责任。</w:t>
      </w:r>
    </w:p>
    <w:p w14:paraId="139884FF" w14:textId="77777777" w:rsidR="00070288" w:rsidRDefault="005A08FD">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（二）油品价格</w:t>
      </w:r>
    </w:p>
    <w:p w14:paraId="5D32F471"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1.供应商所提供的加油服务收费标准须符合国家物价规定及油价调整规定。</w:t>
      </w:r>
    </w:p>
    <w:p w14:paraId="06D869AC"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2.中标供应商各自营加油站的挂牌油价不得高于国家发展和改革委员会公布的零售油品单价。</w:t>
      </w:r>
    </w:p>
    <w:p w14:paraId="375A9E10"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3.供应商油站油价需随国家发改委油价调整而同步调整。</w:t>
      </w:r>
    </w:p>
    <w:p w14:paraId="2A6E9698"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4.自营加油站如有油价优惠活动，按加油时油站挂牌价结算。</w:t>
      </w:r>
    </w:p>
    <w:p w14:paraId="6F940355" w14:textId="77777777" w:rsidR="00070288" w:rsidRDefault="005A08FD">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（三）服务时效与配套服务</w:t>
      </w:r>
    </w:p>
    <w:p w14:paraId="1C50C3F9"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1.全天候服务：提供24小时不间断燃油加注服务，全年无休，满足夜间执勤、突发应急、节假日公务出行等全天候用油需求。</w:t>
      </w:r>
    </w:p>
    <w:p w14:paraId="617AF71B"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2.供应保障：常态化保障油品充足供应，在油价波动、油品供应紧张、极端天气等特殊时期，优先保障采购人公务车辆到站加油的油品供应，不得出现断供、限供、停供情况。</w:t>
      </w:r>
    </w:p>
    <w:p w14:paraId="4566A3DF"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3.售后保障：建立完善的售后服务机制，针对油品质量、加油服务、结算问题等各类诉求，及时响应、快速处置，全程提供售后支撑。供应商须明确售后服务联系人、联系电话及响应时限，一般诉求须在2小时内响应，24小时内处理完毕。</w:t>
      </w:r>
    </w:p>
    <w:p w14:paraId="0DA96C6B" w14:textId="77777777" w:rsidR="00070288" w:rsidRDefault="005A08FD">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（四）网点布局要求</w:t>
      </w:r>
    </w:p>
    <w:p w14:paraId="37B10682"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供应商网点布局需贴合采购人办公地点，保障服务便捷性：供应商在采购人周边3-5公里范围内，至少有1家自营加油站。</w:t>
      </w:r>
    </w:p>
    <w:p w14:paraId="7B59D3A8" w14:textId="77777777" w:rsidR="00070288" w:rsidRDefault="005A08FD">
      <w:pPr>
        <w:widowControl/>
        <w:spacing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四、报价要求</w:t>
      </w:r>
    </w:p>
    <w:p w14:paraId="4019DF19" w14:textId="77777777"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报价须包含全部费用，包括但不限于本项目各型号油品费用、技术服务费用、服务及工勤人员相关费用（含人员工资、福利、交通、住宿、通讯等全部成本）、各类税费、售后保障、应急保障、管理成本以及合同实施过程中的不可预见费等一切费用。采购人不再另行支付本项目项下任何其他费用。</w:t>
      </w:r>
    </w:p>
    <w:p w14:paraId="3B90A0B8" w14:textId="4651FB96" w:rsidR="00070288" w:rsidRDefault="005A08FD">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（二）报价方式：供应商按国家发展和改革委员会公布的零售油品单价折扣率进行报价</w:t>
      </w:r>
      <w:r w:rsidR="008105E2" w:rsidRPr="008105E2">
        <w:rPr>
          <w:rFonts w:ascii="仿宋_GB2312" w:eastAsia="仿宋_GB2312" w:hAnsi="宋体" w:cs="宋体" w:hint="eastAsia"/>
          <w:kern w:val="0"/>
          <w:sz w:val="32"/>
          <w:szCs w:val="32"/>
        </w:rPr>
        <w:t>（注：零售油品结算单价</w:t>
      </w:r>
      <w:r w:rsidR="008105E2" w:rsidRPr="008105E2">
        <w:rPr>
          <w:rFonts w:ascii="仿宋_GB2312" w:eastAsia="仿宋_GB2312" w:hAnsi="宋体" w:cs="宋体"/>
          <w:kern w:val="0"/>
          <w:sz w:val="32"/>
          <w:szCs w:val="32"/>
        </w:rPr>
        <w:t>=挂牌油价</w:t>
      </w:r>
      <w:r w:rsidR="008105E2" w:rsidRPr="008105E2">
        <w:rPr>
          <w:rFonts w:ascii="仿宋_GB2312" w:eastAsia="仿宋_GB2312" w:hAnsi="宋体" w:cs="宋体"/>
          <w:kern w:val="0"/>
          <w:sz w:val="32"/>
          <w:szCs w:val="32"/>
        </w:rPr>
        <w:t>×</w:t>
      </w:r>
      <w:r w:rsidR="008105E2" w:rsidRPr="008105E2">
        <w:rPr>
          <w:rFonts w:ascii="仿宋_GB2312" w:eastAsia="仿宋_GB2312" w:hAnsi="宋体" w:cs="宋体"/>
          <w:kern w:val="0"/>
          <w:sz w:val="32"/>
          <w:szCs w:val="32"/>
        </w:rPr>
        <w:t>成交折扣率）</w:t>
      </w:r>
      <w:bookmarkStart w:id="1" w:name="_GoBack"/>
      <w:bookmarkEnd w:id="1"/>
      <w:r>
        <w:rPr>
          <w:rFonts w:ascii="仿宋_GB2312" w:eastAsia="仿宋_GB2312" w:hAnsi="宋体" w:cs="宋体" w:hint="eastAsia"/>
          <w:kern w:val="0"/>
          <w:sz w:val="32"/>
          <w:szCs w:val="32"/>
        </w:rPr>
        <w:t>。</w:t>
      </w:r>
    </w:p>
    <w:p w14:paraId="6068B42F" w14:textId="77777777" w:rsidR="00070288" w:rsidRDefault="005A08FD">
      <w:pPr>
        <w:widowControl/>
        <w:spacing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五、</w:t>
      </w:r>
      <w:r>
        <w:rPr>
          <w:rFonts w:ascii="黑体" w:eastAsia="黑体" w:hAnsi="黑体" w:cs="宋体"/>
          <w:kern w:val="0"/>
          <w:sz w:val="32"/>
          <w:szCs w:val="32"/>
        </w:rPr>
        <w:t>验收</w:t>
      </w:r>
    </w:p>
    <w:p w14:paraId="2BD565FD" w14:textId="77777777" w:rsidR="00070288" w:rsidRPr="005A08FD" w:rsidRDefault="005A08FD">
      <w:pPr>
        <w:widowControl/>
        <w:spacing w:line="600" w:lineRule="exact"/>
        <w:ind w:firstLineChars="200" w:firstLine="640"/>
        <w:rPr>
          <w:rFonts w:ascii="仿宋_GB2312" w:eastAsia="仿宋_GB2312" w:hAnsi="宋体" w:cs="宋体"/>
          <w:kern w:val="0"/>
          <w:sz w:val="32"/>
          <w:szCs w:val="32"/>
        </w:rPr>
      </w:pPr>
      <w:r w:rsidRPr="005A08FD">
        <w:rPr>
          <w:rFonts w:ascii="仿宋_GB2312" w:eastAsia="仿宋_GB2312" w:hAnsi="宋体" w:cs="宋体"/>
          <w:kern w:val="0"/>
          <w:sz w:val="32"/>
          <w:szCs w:val="32"/>
        </w:rPr>
        <w:t>乙方在提交自检报告等相关文件后的15个工作日内，甲方应组织质量验收，服务质量验收合格的，甲方向乙方签发《验收报告》;不合格的，甲方及时向乙方提出质量异议和投诉;若由于甲方原因在收到乙方提交的维护过程文件及自检报告后15个工作日内未组织验收则视为自动验收通过。验收标准由甲乙双方根据乙方中标投标文件的有关部分进行友好协商确定。</w:t>
      </w:r>
    </w:p>
    <w:p w14:paraId="34B65881" w14:textId="77777777" w:rsidR="00070288" w:rsidRDefault="005A08FD">
      <w:pPr>
        <w:widowControl/>
        <w:spacing w:line="600" w:lineRule="exact"/>
        <w:ind w:firstLineChars="200" w:firstLine="640"/>
        <w:rPr>
          <w:rFonts w:ascii="黑体" w:eastAsia="黑体" w:hAnsi="黑体" w:cs="宋体"/>
          <w:kern w:val="0"/>
          <w:sz w:val="32"/>
          <w:szCs w:val="32"/>
        </w:rPr>
      </w:pPr>
      <w:r>
        <w:rPr>
          <w:rFonts w:ascii="黑体" w:eastAsia="黑体" w:hAnsi="黑体" w:cs="宋体"/>
          <w:kern w:val="0"/>
          <w:sz w:val="32"/>
          <w:szCs w:val="32"/>
        </w:rPr>
        <w:lastRenderedPageBreak/>
        <w:t>六、</w:t>
      </w:r>
      <w:r>
        <w:rPr>
          <w:rFonts w:ascii="黑体" w:eastAsia="黑体" w:hAnsi="黑体" w:cs="宋体" w:hint="eastAsia"/>
          <w:kern w:val="0"/>
          <w:sz w:val="32"/>
          <w:szCs w:val="32"/>
        </w:rPr>
        <w:t>结算及支付方式</w:t>
      </w:r>
    </w:p>
    <w:p w14:paraId="4765B556" w14:textId="19FB7D2E" w:rsidR="00070288" w:rsidRDefault="005A08FD" w:rsidP="005A08FD">
      <w:pPr>
        <w:spacing w:line="600" w:lineRule="exact"/>
        <w:ind w:firstLineChars="200" w:firstLine="640"/>
        <w:rPr>
          <w:rFonts w:ascii="仿宋_GB2312" w:eastAsia="仿宋_GB2312" w:hAnsi="宋体" w:cs="宋体"/>
          <w:sz w:val="28"/>
          <w:szCs w:val="28"/>
        </w:rPr>
      </w:pPr>
      <w:r>
        <w:rPr>
          <w:rFonts w:ascii="仿宋_GB2312" w:eastAsia="仿宋_GB2312" w:hAnsi="宋体" w:cs="宋体" w:hint="eastAsia"/>
          <w:kern w:val="0"/>
          <w:sz w:val="32"/>
          <w:szCs w:val="32"/>
        </w:rPr>
        <w:t>加油完成后支持公务卡据实结算，供应商提供加油小票及含税发票。</w:t>
      </w:r>
    </w:p>
    <w:sectPr w:rsidR="00070288">
      <w:pgSz w:w="11906" w:h="16838"/>
      <w:pgMar w:top="1418" w:right="1418" w:bottom="1418"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C39DC" w14:textId="77777777" w:rsidR="00673F7A" w:rsidRDefault="00673F7A" w:rsidP="008105E2">
      <w:r>
        <w:separator/>
      </w:r>
    </w:p>
  </w:endnote>
  <w:endnote w:type="continuationSeparator" w:id="0">
    <w:p w14:paraId="129FED73" w14:textId="77777777" w:rsidR="00673F7A" w:rsidRDefault="00673F7A" w:rsidP="00810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default"/>
    <w:sig w:usb0="00000000" w:usb1="00000000" w:usb2="00000010" w:usb3="00000000" w:csb0="00040000" w:csb1="00000000"/>
  </w:font>
  <w:font w:name="方正公文小标宋">
    <w:altName w:val="汉仪书宋二KW"/>
    <w:charset w:val="86"/>
    <w:family w:val="auto"/>
    <w:pitch w:val="default"/>
    <w:sig w:usb0="00000000" w:usb1="0000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Segoe UI">
    <w:altName w:val="Arial"/>
    <w:panose1 w:val="020B0502040204020203"/>
    <w:charset w:val="00"/>
    <w:family w:val="swiss"/>
    <w:pitch w:val="variable"/>
    <w:sig w:usb0="E10022FF" w:usb1="C000E47F" w:usb2="00000029" w:usb3="00000000" w:csb0="000001DF"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9751F" w14:textId="77777777" w:rsidR="00673F7A" w:rsidRDefault="00673F7A" w:rsidP="008105E2">
      <w:r>
        <w:separator/>
      </w:r>
    </w:p>
  </w:footnote>
  <w:footnote w:type="continuationSeparator" w:id="0">
    <w:p w14:paraId="5D86BC7F" w14:textId="77777777" w:rsidR="00673F7A" w:rsidRDefault="00673F7A" w:rsidP="008105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s://10.2.240.65:11335/seeyon/officeservlet"/>
  </w:docVars>
  <w:rsids>
    <w:rsidRoot w:val="00966F5F"/>
    <w:rsid w:val="A7EE11D0"/>
    <w:rsid w:val="B3B550C5"/>
    <w:rsid w:val="B7FF8422"/>
    <w:rsid w:val="BAFF1B90"/>
    <w:rsid w:val="BBBF378E"/>
    <w:rsid w:val="BF5FD676"/>
    <w:rsid w:val="BF7A2F78"/>
    <w:rsid w:val="BFE73CE3"/>
    <w:rsid w:val="CB1FCA83"/>
    <w:rsid w:val="CECF6CF1"/>
    <w:rsid w:val="CEEF8BEC"/>
    <w:rsid w:val="CF778DA8"/>
    <w:rsid w:val="D6DE5C6E"/>
    <w:rsid w:val="D7DB15AB"/>
    <w:rsid w:val="EB1F73F1"/>
    <w:rsid w:val="EDF7DD00"/>
    <w:rsid w:val="EDFDD212"/>
    <w:rsid w:val="EF679480"/>
    <w:rsid w:val="EF69B83C"/>
    <w:rsid w:val="F3DE58C7"/>
    <w:rsid w:val="F3F71B1E"/>
    <w:rsid w:val="F6D79080"/>
    <w:rsid w:val="FB76042E"/>
    <w:rsid w:val="00070288"/>
    <w:rsid w:val="000808B9"/>
    <w:rsid w:val="001C4B32"/>
    <w:rsid w:val="0025750B"/>
    <w:rsid w:val="003E1640"/>
    <w:rsid w:val="00495F54"/>
    <w:rsid w:val="00586502"/>
    <w:rsid w:val="005A08FD"/>
    <w:rsid w:val="006001D5"/>
    <w:rsid w:val="00673F7A"/>
    <w:rsid w:val="006C32AC"/>
    <w:rsid w:val="006E654E"/>
    <w:rsid w:val="008105E2"/>
    <w:rsid w:val="009173AC"/>
    <w:rsid w:val="00964F88"/>
    <w:rsid w:val="00966F5F"/>
    <w:rsid w:val="00BE4DCC"/>
    <w:rsid w:val="00BE67AC"/>
    <w:rsid w:val="00C95723"/>
    <w:rsid w:val="00D86546"/>
    <w:rsid w:val="00FC57DB"/>
    <w:rsid w:val="1CC52FB3"/>
    <w:rsid w:val="1F7493A7"/>
    <w:rsid w:val="322B47E2"/>
    <w:rsid w:val="36D95B79"/>
    <w:rsid w:val="3E2BD73F"/>
    <w:rsid w:val="3E9CA39B"/>
    <w:rsid w:val="4FBF7A84"/>
    <w:rsid w:val="50CFEEFA"/>
    <w:rsid w:val="52FFD4C3"/>
    <w:rsid w:val="5AD7DA16"/>
    <w:rsid w:val="5CDFBAC3"/>
    <w:rsid w:val="67CFCAC6"/>
    <w:rsid w:val="6FF3F030"/>
    <w:rsid w:val="75F9DACC"/>
    <w:rsid w:val="77DEF4D6"/>
    <w:rsid w:val="7DBF3F10"/>
    <w:rsid w:val="7FD6861C"/>
    <w:rsid w:val="7FDFA017"/>
    <w:rsid w:val="7FEC36CA"/>
    <w:rsid w:val="7FFB6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D83E10"/>
  <w15:docId w15:val="{4BE8EC87-F989-43B7-B3A0-D822269CB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b">
    <w:name w:val="annotation subject"/>
    <w:basedOn w:val="a3"/>
    <w:next w:val="a3"/>
    <w:link w:val="ac"/>
    <w:uiPriority w:val="99"/>
    <w:semiHidden/>
    <w:unhideWhenUsed/>
    <w:rPr>
      <w:b/>
      <w:bCs/>
    </w:rPr>
  </w:style>
  <w:style w:type="character" w:styleId="ad">
    <w:name w:val="Strong"/>
    <w:basedOn w:val="a0"/>
    <w:uiPriority w:val="22"/>
    <w:qFormat/>
    <w:rPr>
      <w:b/>
      <w:bCs/>
    </w:rPr>
  </w:style>
  <w:style w:type="character" w:styleId="ae">
    <w:name w:val="annotation reference"/>
    <w:basedOn w:val="a0"/>
    <w:uiPriority w:val="99"/>
    <w:semiHidden/>
    <w:unhideWhenUsed/>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
    <w:name w:val="List Paragraph"/>
    <w:basedOn w:val="a"/>
    <w:uiPriority w:val="34"/>
    <w:qFormat/>
    <w:pPr>
      <w:ind w:firstLineChars="200" w:firstLine="420"/>
    </w:pPr>
  </w:style>
  <w:style w:type="character" w:customStyle="1" w:styleId="a6">
    <w:name w:val="批注框文本 字符"/>
    <w:basedOn w:val="a0"/>
    <w:link w:val="a5"/>
    <w:uiPriority w:val="99"/>
    <w:semiHidden/>
    <w:rPr>
      <w:kern w:val="2"/>
      <w:sz w:val="18"/>
      <w:szCs w:val="18"/>
    </w:rPr>
  </w:style>
  <w:style w:type="character" w:customStyle="1" w:styleId="a4">
    <w:name w:val="批注文字 字符"/>
    <w:basedOn w:val="a0"/>
    <w:link w:val="a3"/>
    <w:uiPriority w:val="99"/>
    <w:semiHidden/>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10">
    <w:name w:val="标题 1 字符"/>
    <w:basedOn w:val="a0"/>
    <w:link w:val="1"/>
    <w:uiPriority w:val="9"/>
    <w:rPr>
      <w:rFonts w:asciiTheme="minorHAnsi" w:eastAsiaTheme="minorEastAsia" w:hAnsiTheme="minorHAnsi" w:cstheme="minorBidi"/>
      <w:b/>
      <w:bCs/>
      <w:kern w:val="44"/>
      <w:sz w:val="44"/>
      <w:szCs w:val="44"/>
    </w:rPr>
  </w:style>
  <w:style w:type="paragraph" w:customStyle="1" w:styleId="ds-markdown-paragraph">
    <w:name w:val="ds-markdown-paragraph"/>
    <w:basedOn w:val="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219</Words>
  <Characters>1253</Characters>
  <Application>Microsoft Office Word</Application>
  <DocSecurity>0</DocSecurity>
  <Lines>10</Lines>
  <Paragraphs>2</Paragraphs>
  <ScaleCrop>false</ScaleCrop>
  <Company>Microsoft</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朱建波</dc:creator>
  <cp:lastModifiedBy>肖翔</cp:lastModifiedBy>
  <cp:revision>4</cp:revision>
  <dcterms:created xsi:type="dcterms:W3CDTF">2026-09-23T08:33:00Z</dcterms:created>
  <dcterms:modified xsi:type="dcterms:W3CDTF">2026-09-23T08:40:00Z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eyJoZGlkIjoiN2ZmYmU3MTgzYmUzODEzNjUyYzE4MjIyMmJmZDliOTgiLCJ1c2VySWQiOiIxODE5ODcxNTk3In0=</vt:lpwstr>
  </property>
  <property fmtid="{D5CDD505-2E9C-101B-9397-08002B2CF9AE}" pid="4" name="ICV">
    <vt:lpwstr>A86639D7E63447F3B9DA0B5FB80907C4_13</vt:lpwstr>
  </property>
</Properties>
</file>